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sz w:val="22"/>
          <w:szCs w:val="22"/>
        </w:rPr>
      </w:pPr>
      <w:r>
        <w:rPr>
          <w:rFonts w:cs="Arial" w:ascii="Arial" w:hAnsi="Arial"/>
          <w:b/>
          <w:sz w:val="22"/>
          <w:szCs w:val="22"/>
        </w:rPr>
      </w:r>
    </w:p>
    <w:tbl>
      <w:tblPr>
        <w:tblW w:w="10940" w:type="dxa"/>
        <w:jc w:val="left"/>
        <w:tblInd w:w="-636" w:type="dxa"/>
        <w:tblLayout w:type="fixed"/>
        <w:tblCellMar>
          <w:top w:w="0" w:type="dxa"/>
          <w:left w:w="108" w:type="dxa"/>
          <w:bottom w:w="0" w:type="dxa"/>
          <w:right w:w="108" w:type="dxa"/>
        </w:tblCellMar>
        <w:tblLook w:val="0000" w:noHBand="0" w:noVBand="0" w:firstColumn="0" w:lastRow="0" w:lastColumn="0" w:firstRow="0"/>
      </w:tblPr>
      <w:tblGrid>
        <w:gridCol w:w="2244"/>
        <w:gridCol w:w="8695"/>
      </w:tblGrid>
      <w:tr>
        <w:trPr>
          <w:trHeight w:val="479" w:hRule="atLeast"/>
        </w:trPr>
        <w:tc>
          <w:tcPr>
            <w:tcW w:w="1093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
                <w:sz w:val="22"/>
                <w:szCs w:val="22"/>
              </w:rPr>
            </w:pPr>
            <w:r>
              <w:rPr>
                <w:rFonts w:cs="Arial" w:ascii="Arial" w:hAnsi="Arial"/>
                <w:b/>
                <w:sz w:val="22"/>
                <w:szCs w:val="22"/>
              </w:rPr>
              <w:t>About the Measure</w:t>
            </w:r>
          </w:p>
          <w:p>
            <w:pPr>
              <w:pStyle w:val="Normal"/>
              <w:widowControl w:val="false"/>
              <w:rPr>
                <w:rFonts w:ascii="Arial" w:hAnsi="Arial" w:cs="Arial"/>
                <w:sz w:val="22"/>
                <w:szCs w:val="22"/>
              </w:rPr>
            </w:pPr>
            <w:r>
              <w:rPr>
                <w:rFonts w:cs="Arial" w:ascii="Arial" w:hAnsi="Arial"/>
                <w:sz w:val="22"/>
                <w:szCs w:val="22"/>
              </w:rPr>
            </w:r>
          </w:p>
        </w:tc>
      </w:tr>
      <w:tr>
        <w:trPr>
          <w:trHeight w:val="350" w:hRule="atLeast"/>
        </w:trPr>
        <w:tc>
          <w:tcPr>
            <w:tcW w:w="2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2"/>
                <w:szCs w:val="22"/>
              </w:rPr>
            </w:pPr>
            <w:r>
              <w:rPr>
                <w:rFonts w:cs="Arial" w:ascii="Arial" w:hAnsi="Arial"/>
                <w:b/>
                <w:sz w:val="22"/>
                <w:szCs w:val="22"/>
              </w:rPr>
              <w:t>Domain:</w:t>
            </w:r>
          </w:p>
        </w:tc>
        <w:tc>
          <w:tcPr>
            <w:tcW w:w="86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PTSD</w:t>
            </w:r>
          </w:p>
        </w:tc>
      </w:tr>
      <w:tr>
        <w:trPr>
          <w:trHeight w:val="432" w:hRule="atLeast"/>
        </w:trPr>
        <w:tc>
          <w:tcPr>
            <w:tcW w:w="2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2"/>
                <w:szCs w:val="22"/>
              </w:rPr>
            </w:pPr>
            <w:r>
              <w:rPr>
                <w:rFonts w:cs="Arial" w:ascii="Arial" w:hAnsi="Arial"/>
                <w:b/>
                <w:sz w:val="22"/>
                <w:szCs w:val="22"/>
              </w:rPr>
              <w:t>Measure:</w:t>
            </w:r>
          </w:p>
        </w:tc>
        <w:tc>
          <w:tcPr>
            <w:tcW w:w="86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Resting-state fMRI</w:t>
            </w:r>
          </w:p>
        </w:tc>
      </w:tr>
      <w:tr>
        <w:trPr>
          <w:trHeight w:val="341" w:hRule="atLeast"/>
        </w:trPr>
        <w:tc>
          <w:tcPr>
            <w:tcW w:w="22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2"/>
                <w:szCs w:val="22"/>
              </w:rPr>
            </w:pPr>
            <w:r>
              <w:rPr>
                <w:rFonts w:cs="Arial" w:ascii="Arial" w:hAnsi="Arial"/>
                <w:b/>
                <w:sz w:val="22"/>
                <w:szCs w:val="22"/>
              </w:rPr>
              <w:t>Definition:</w:t>
            </w:r>
          </w:p>
        </w:tc>
        <w:tc>
          <w:tcPr>
            <w:tcW w:w="86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A measure for the standardized administration of resting-state functional magnetic resonance imaging (fMRI) in research and clinical efforts.</w:t>
            </w:r>
          </w:p>
        </w:tc>
      </w:tr>
      <w:tr>
        <w:trPr>
          <w:trHeight w:val="293" w:hRule="atLeast"/>
        </w:trPr>
        <w:tc>
          <w:tcPr>
            <w:tcW w:w="224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2"/>
                <w:szCs w:val="22"/>
              </w:rPr>
            </w:pPr>
            <w:r>
              <w:rPr>
                <w:rFonts w:cs="Arial" w:ascii="Arial" w:hAnsi="Arial"/>
                <w:b/>
                <w:sz w:val="22"/>
                <w:szCs w:val="22"/>
              </w:rPr>
              <w:t>Purpose:</w:t>
            </w:r>
          </w:p>
        </w:tc>
        <w:tc>
          <w:tcPr>
            <w:tcW w:w="869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This measure can be used to assess the functional integrity of brain regions and circuits with which they are connected anywhere in the brain, unconstrained by the specific demands of particular tasks.</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rPr>
      </w:pPr>
      <w:r>
        <w:rPr>
          <w:rFonts w:cs="Arial" w:ascii="Arial" w:hAnsi="Arial"/>
          <w:b/>
          <w:sz w:val="22"/>
          <w:szCs w:val="22"/>
        </w:rPr>
      </w:r>
    </w:p>
    <w:tbl>
      <w:tblPr>
        <w:tblW w:w="1089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2280"/>
        <w:gridCol w:w="8615"/>
      </w:tblGrid>
      <w:tr>
        <w:trPr>
          <w:trHeight w:val="420" w:hRule="atLeast"/>
        </w:trPr>
        <w:tc>
          <w:tcPr>
            <w:tcW w:w="108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
                <w:sz w:val="22"/>
                <w:szCs w:val="22"/>
              </w:rPr>
            </w:pPr>
            <w:r>
              <w:rPr>
                <w:rFonts w:cs="Arial" w:ascii="Arial" w:hAnsi="Arial"/>
                <w:b/>
                <w:sz w:val="22"/>
                <w:szCs w:val="22"/>
              </w:rPr>
              <w:t>About the Protocol</w:t>
            </w:r>
          </w:p>
          <w:p>
            <w:pPr>
              <w:pStyle w:val="Normal"/>
              <w:widowControl w:val="false"/>
              <w:rPr>
                <w:rFonts w:ascii="Arial" w:hAnsi="Arial" w:cs="Arial"/>
                <w:b/>
                <w:b/>
                <w:sz w:val="22"/>
                <w:szCs w:val="22"/>
              </w:rPr>
            </w:pPr>
            <w:r>
              <w:rPr>
                <w:rFonts w:cs="Arial" w:ascii="Arial" w:hAnsi="Arial"/>
                <w:b/>
                <w:sz w:val="22"/>
                <w:szCs w:val="22"/>
              </w:rPr>
            </w:r>
          </w:p>
          <w:p>
            <w:pPr>
              <w:pStyle w:val="Normal"/>
              <w:widowControl w:val="false"/>
              <w:rPr>
                <w:rFonts w:ascii="Arial" w:hAnsi="Arial" w:cs="Arial"/>
                <w:sz w:val="22"/>
                <w:szCs w:val="22"/>
              </w:rPr>
            </w:pPr>
            <w:r>
              <w:rPr>
                <w:rFonts w:cs="Arial" w:ascii="Arial" w:hAnsi="Arial"/>
                <w:sz w:val="22"/>
                <w:szCs w:val="22"/>
              </w:rPr>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16"/>
                <w:szCs w:val="16"/>
              </w:rPr>
            </w:pPr>
            <w:r>
              <w:rPr>
                <w:rFonts w:cs="Arial" w:ascii="Arial" w:hAnsi="Arial"/>
                <w:b/>
                <w:sz w:val="22"/>
                <w:szCs w:val="22"/>
              </w:rPr>
              <w:t>Description of Protocol:</w:t>
              <w:br/>
            </w:r>
          </w:p>
        </w:tc>
        <w:tc>
          <w:tcPr>
            <w:tcW w:w="86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This protocol includes recommended technical and analytical procedures for the consistent collection of resting-state functional magnetic resonance imaging (fMRI) data based on commonly employed methods. These procedures include identification of key MRI acquisition parameters and critical elements of data preprocessing, as well as key interpretational issues. Resting-state fMRI is a commonly used methodology, and this protocol is intended to reflect the neuroimaging field’s consensus elements as they are primarily summarized in van Dijk et al. (2010) and as supplemented by additional references noted below.</w:t>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2"/>
                <w:szCs w:val="22"/>
              </w:rPr>
            </w:pPr>
            <w:r>
              <w:rPr>
                <w:rFonts w:cs="Arial" w:ascii="Arial" w:hAnsi="Arial"/>
                <w:b/>
                <w:sz w:val="22"/>
                <w:szCs w:val="22"/>
              </w:rPr>
              <w:t>Selection Rationale:</w:t>
            </w:r>
          </w:p>
        </w:tc>
        <w:tc>
          <w:tcPr>
            <w:tcW w:w="86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The PTSD Working Group selected resting state functional magnetic resonance imaging (fMRI) for several reasons: (1) it is by far the easiest fMRI protocol to acquire, with very few requirements of the participant or experimenter; (2) it is routinely included in studies that acquire fMRI data; (3) it allows simultaneous investigation of a large number of functional brain circuits using data unconstrained by task demands; (4) the large number of methods papers published on resting-state fMRI has converged on consensus acquisition and preprocessing methods that can be used across neuroimaging analysis software platforms to yield similar results; (5) resting-state measures have been found to be highly reliable and to yield dissociable measures of brain connectivity for different circuits examined within the same resting-state data set; and (6) it is the only protocol that directly assesses function of the brain, providing a critical component for understanding the etiology, pathophysiology, and treatment of trauma-related disorders.</w:t>
            </w:r>
          </w:p>
        </w:tc>
      </w:tr>
      <w:tr>
        <w:trPr>
          <w:trHeight w:val="525"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2"/>
                <w:szCs w:val="22"/>
              </w:rPr>
            </w:pPr>
            <w:r>
              <w:rPr>
                <w:rFonts w:cs="Arial" w:ascii="Arial" w:hAnsi="Arial"/>
                <w:b/>
                <w:sz w:val="22"/>
                <w:szCs w:val="22"/>
              </w:rPr>
              <w:t>Specific Instructions:</w:t>
            </w:r>
          </w:p>
        </w:tc>
        <w:tc>
          <w:tcPr>
            <w:tcW w:w="86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This protocol focuses on key acquisition, preprocessing, and data analytic steps required to produce a functional magnetic resonance imaging (fMRI) data set that can be used as a common data element (CDE). This entails specification of key details related to acquisition, preprocessing, and analysis, which generate delimited resting-state CDEs as well as broader standardized preprocessed data sets that can be used for additional analyses. In other words, the form of the data themselves is a CDE in addition to a subset of potential processed analyses.</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It is important to note that fMRI, unlike questionnaire measures or blood tests, does not yield an absolute value that can be combined across studies and scanners. Scanners may differ in sensitivities to signal and noise, extent of sinus artifact, and methods for data acquisition. For this reason, it is not possible with fMRI to compare patients acquired on one scanner with controls scanned on another. Nonetheless, resting-state data have been used successfully across scanners and sites in multiple studies when similar preprocessing steps are applied and a site/scanner covariate is used in the analyses. Thus, lack of an absolute-value output of fMRI and differences across scanner platforms do not preclude use of resting-state fMRI as a CDE if appropriate steps are taken during data acquisition and analysis.</w:t>
            </w:r>
          </w:p>
        </w:tc>
      </w:tr>
      <w:tr>
        <w:trPr>
          <w:trHeight w:val="323" w:hRule="atLeast"/>
        </w:trPr>
        <w:tc>
          <w:tcPr>
            <w:tcW w:w="2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2"/>
                <w:szCs w:val="22"/>
              </w:rPr>
            </w:pPr>
            <w:r>
              <w:rPr>
                <w:rFonts w:cs="Arial" w:ascii="Arial" w:hAnsi="Arial"/>
                <w:b/>
                <w:sz w:val="22"/>
                <w:szCs w:val="22"/>
              </w:rPr>
              <w:t>Protocol Text:</w:t>
            </w:r>
          </w:p>
        </w:tc>
        <w:tc>
          <w:tcPr>
            <w:tcW w:w="861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
                <w:sz w:val="22"/>
                <w:szCs w:val="22"/>
              </w:rPr>
            </w:pPr>
            <w:r>
              <w:rPr>
                <w:rFonts w:cs="Arial" w:ascii="Arial" w:hAnsi="Arial"/>
                <w:b/>
                <w:sz w:val="22"/>
                <w:szCs w:val="22"/>
              </w:rPr>
              <w:t>Summary of the fMRI Technical and Analytical Procedures</w:t>
            </w:r>
          </w:p>
          <w:p>
            <w:pPr>
              <w:pStyle w:val="Normal"/>
              <w:widowControl w:val="false"/>
              <w:rPr>
                <w:rFonts w:ascii="Arial" w:hAnsi="Arial" w:cs="Arial"/>
                <w:sz w:val="22"/>
                <w:szCs w:val="22"/>
              </w:rPr>
            </w:pPr>
            <w:r>
              <w:rPr>
                <w:rFonts w:cs="Arial" w:ascii="Arial" w:hAnsi="Arial"/>
                <w:sz w:val="22"/>
                <w:szCs w:val="22"/>
                <w:u w:val="single"/>
              </w:rPr>
              <w:t>Acquisition</w:t>
            </w:r>
            <w:r>
              <w:rPr>
                <w:rFonts w:cs="Arial" w:ascii="Arial" w:hAnsi="Arial"/>
                <w:sz w:val="22"/>
                <w:szCs w:val="22"/>
              </w:rPr>
              <w:t>:</w:t>
            </w:r>
          </w:p>
          <w:p>
            <w:pPr>
              <w:pStyle w:val="Normal"/>
              <w:widowControl w:val="false"/>
              <w:rPr>
                <w:rFonts w:ascii="Arial" w:hAnsi="Arial" w:cs="Arial"/>
                <w:sz w:val="22"/>
                <w:szCs w:val="22"/>
              </w:rPr>
            </w:pPr>
            <w:r>
              <w:rPr>
                <w:rFonts w:cs="Arial" w:ascii="Arial" w:hAnsi="Arial"/>
                <w:sz w:val="22"/>
                <w:szCs w:val="22"/>
              </w:rPr>
              <w:t>Resting-state fMRI uses gradient echo images acquired as echo-planar imaging (EPI) acquisitions. Key components of the acquisition protocol to note are:</w:t>
            </w:r>
          </w:p>
          <w:p>
            <w:pPr>
              <w:pStyle w:val="Normal"/>
              <w:widowControl w:val="false"/>
              <w:numPr>
                <w:ilvl w:val="0"/>
                <w:numId w:val="3"/>
              </w:numPr>
              <w:rPr>
                <w:rFonts w:ascii="Arial" w:hAnsi="Arial" w:cs="Arial"/>
                <w:sz w:val="22"/>
                <w:szCs w:val="22"/>
              </w:rPr>
            </w:pPr>
            <w:r>
              <w:rPr>
                <w:rFonts w:cs="Arial" w:ascii="Arial" w:hAnsi="Arial"/>
                <w:sz w:val="22"/>
                <w:szCs w:val="22"/>
              </w:rPr>
              <w:t>A repetition time (TR; time to acquire a whole brain volume) of 2000 ms. This value is chosen as there has been considerable interest in frequency-related resting state analyses, which are constrained by the acquisition TR (Biswall et al., 2010).</w:t>
            </w:r>
          </w:p>
          <w:p>
            <w:pPr>
              <w:pStyle w:val="Normal"/>
              <w:widowControl w:val="false"/>
              <w:numPr>
                <w:ilvl w:val="0"/>
                <w:numId w:val="3"/>
              </w:numPr>
              <w:rPr>
                <w:rFonts w:ascii="Arial" w:hAnsi="Arial" w:cs="Arial"/>
                <w:sz w:val="22"/>
                <w:szCs w:val="22"/>
              </w:rPr>
            </w:pPr>
            <w:r>
              <w:rPr>
                <w:rFonts w:cs="Arial" w:ascii="Arial" w:hAnsi="Arial"/>
                <w:sz w:val="22"/>
                <w:szCs w:val="22"/>
              </w:rPr>
              <w:t>Images should be acquired axially aligned with the anterior and posterior commissures.</w:t>
            </w:r>
          </w:p>
          <w:p>
            <w:pPr>
              <w:pStyle w:val="Normal"/>
              <w:widowControl w:val="false"/>
              <w:numPr>
                <w:ilvl w:val="0"/>
                <w:numId w:val="3"/>
              </w:numPr>
              <w:rPr>
                <w:rFonts w:ascii="Arial" w:hAnsi="Arial" w:cs="Arial"/>
                <w:sz w:val="22"/>
                <w:szCs w:val="22"/>
              </w:rPr>
            </w:pPr>
            <w:r>
              <w:rPr>
                <w:rFonts w:cs="Arial" w:ascii="Arial" w:hAnsi="Arial"/>
                <w:sz w:val="22"/>
                <w:szCs w:val="22"/>
              </w:rPr>
              <w:t>Other parameters (e.g., echo time, number of slices, voxel dimensions) should be chosen based on optimization for the specific scanner platform used in collaboration with knowledgeable MRI center staff (Van Dijk et al., 2010). Since these parameters may be scanner-specific, they do not have a direct impact on use of resting-state fMRI as a CDE. It is important, however, that the entire cerebrum be covered in the acquisition, which can be achieved by adjusting the voxel dimensions, gap between slices, or both to cover the brain. These parameters should not change across the duration of the experiment; otherwise data may not be comparable.</w:t>
            </w:r>
          </w:p>
          <w:p>
            <w:pPr>
              <w:pStyle w:val="Normal"/>
              <w:widowControl w:val="false"/>
              <w:numPr>
                <w:ilvl w:val="0"/>
                <w:numId w:val="3"/>
              </w:numPr>
              <w:rPr>
                <w:rFonts w:ascii="Arial" w:hAnsi="Arial" w:cs="Arial"/>
                <w:sz w:val="22"/>
                <w:szCs w:val="22"/>
              </w:rPr>
            </w:pPr>
            <w:r>
              <w:rPr>
                <w:rFonts w:cs="Arial" w:ascii="Arial" w:hAnsi="Arial"/>
                <w:sz w:val="22"/>
                <w:szCs w:val="22"/>
              </w:rPr>
              <w:t>Participants should be instructed to fixate on a fixation cross shown on the screen with their eyes open, to let their minds wander and try not to fall asleep (Birn et al., 2013). Participants should then be debriefed after the scan to determine whether they fell asleep (which would necessitate repetition of the scan).</w:t>
            </w:r>
          </w:p>
          <w:p>
            <w:pPr>
              <w:pStyle w:val="Normal"/>
              <w:widowControl w:val="false"/>
              <w:numPr>
                <w:ilvl w:val="0"/>
                <w:numId w:val="3"/>
              </w:numPr>
              <w:rPr>
                <w:rFonts w:ascii="Arial" w:hAnsi="Arial" w:cs="Arial"/>
                <w:sz w:val="22"/>
                <w:szCs w:val="22"/>
              </w:rPr>
            </w:pPr>
            <w:r>
              <w:rPr>
                <w:rFonts w:cs="Arial" w:ascii="Arial" w:hAnsi="Arial"/>
                <w:sz w:val="22"/>
                <w:szCs w:val="22"/>
              </w:rPr>
              <w:t>The scan should be repeated (or discarded) if the participant moves more than 3 mm total translation or 3 degrees total rotation (Van Dijk et al., 2010).</w:t>
            </w:r>
          </w:p>
          <w:p>
            <w:pPr>
              <w:pStyle w:val="Normal"/>
              <w:widowControl w:val="false"/>
              <w:numPr>
                <w:ilvl w:val="0"/>
                <w:numId w:val="3"/>
              </w:numPr>
              <w:rPr>
                <w:rFonts w:ascii="Arial" w:hAnsi="Arial" w:cs="Arial"/>
                <w:sz w:val="22"/>
                <w:szCs w:val="22"/>
              </w:rPr>
            </w:pPr>
            <w:r>
              <w:rPr>
                <w:rFonts w:cs="Arial" w:ascii="Arial" w:hAnsi="Arial"/>
                <w:sz w:val="22"/>
                <w:szCs w:val="22"/>
              </w:rPr>
              <w:t>A minimum of 5 minutes of resting-state data should be acquired (Van Dijk et al., 2010).</w:t>
            </w:r>
          </w:p>
          <w:p>
            <w:pPr>
              <w:pStyle w:val="Normal"/>
              <w:widowControl w:val="false"/>
              <w:numPr>
                <w:ilvl w:val="0"/>
                <w:numId w:val="3"/>
              </w:numPr>
              <w:rPr>
                <w:rFonts w:ascii="Arial" w:hAnsi="Arial" w:cs="Arial"/>
                <w:sz w:val="22"/>
                <w:szCs w:val="22"/>
              </w:rPr>
            </w:pPr>
            <w:r>
              <w:rPr>
                <w:rFonts w:cs="Arial" w:ascii="Arial" w:hAnsi="Arial"/>
                <w:sz w:val="22"/>
                <w:szCs w:val="22"/>
              </w:rPr>
              <w:t>The following data should be recorded as part of inclusion of resting-state fMRI as a CDE:</w:t>
            </w:r>
          </w:p>
          <w:p>
            <w:pPr>
              <w:pStyle w:val="Normal"/>
              <w:widowControl w:val="false"/>
              <w:numPr>
                <w:ilvl w:val="0"/>
                <w:numId w:val="4"/>
              </w:numPr>
              <w:rPr>
                <w:rFonts w:ascii="Arial" w:hAnsi="Arial" w:cs="Arial"/>
                <w:sz w:val="22"/>
                <w:szCs w:val="22"/>
              </w:rPr>
            </w:pPr>
            <w:r>
              <w:rPr>
                <w:rFonts w:cs="Arial" w:ascii="Arial" w:hAnsi="Arial"/>
                <w:sz w:val="22"/>
                <w:szCs w:val="22"/>
              </w:rPr>
              <w:t>Make and model of Scanner</w:t>
            </w:r>
          </w:p>
          <w:p>
            <w:pPr>
              <w:pStyle w:val="Normal"/>
              <w:widowControl w:val="false"/>
              <w:numPr>
                <w:ilvl w:val="0"/>
                <w:numId w:val="4"/>
              </w:numPr>
              <w:rPr>
                <w:rFonts w:ascii="Arial" w:hAnsi="Arial" w:cs="Arial"/>
                <w:sz w:val="22"/>
                <w:szCs w:val="22"/>
              </w:rPr>
            </w:pPr>
            <w:r>
              <w:rPr>
                <w:rFonts w:cs="Arial" w:ascii="Arial" w:hAnsi="Arial"/>
                <w:sz w:val="22"/>
                <w:szCs w:val="22"/>
              </w:rPr>
              <w:t>Repetition Time, Echo Time, Number of slices, Voxel Dimensions</w:t>
            </w:r>
          </w:p>
          <w:p>
            <w:pPr>
              <w:pStyle w:val="Normal"/>
              <w:widowControl w:val="false"/>
              <w:numPr>
                <w:ilvl w:val="0"/>
                <w:numId w:val="4"/>
              </w:numPr>
              <w:rPr>
                <w:rFonts w:ascii="Arial" w:hAnsi="Arial" w:cs="Arial"/>
                <w:sz w:val="22"/>
                <w:szCs w:val="22"/>
              </w:rPr>
            </w:pPr>
            <w:r>
              <w:rPr>
                <w:rFonts w:cs="Arial" w:ascii="Arial" w:hAnsi="Arial"/>
                <w:sz w:val="22"/>
                <w:szCs w:val="22"/>
              </w:rPr>
              <w:t>Method for orienting the slices</w:t>
            </w:r>
          </w:p>
          <w:p>
            <w:pPr>
              <w:pStyle w:val="Normal"/>
              <w:widowControl w:val="false"/>
              <w:numPr>
                <w:ilvl w:val="0"/>
                <w:numId w:val="4"/>
              </w:numPr>
              <w:rPr>
                <w:rFonts w:ascii="Arial" w:hAnsi="Arial" w:cs="Arial"/>
                <w:sz w:val="22"/>
                <w:szCs w:val="22"/>
              </w:rPr>
            </w:pPr>
            <w:r>
              <w:rPr>
                <w:rFonts w:cs="Arial" w:ascii="Arial" w:hAnsi="Arial"/>
                <w:sz w:val="22"/>
                <w:szCs w:val="22"/>
              </w:rPr>
              <w:t>Participant fell asleep (Y/N)</w:t>
            </w:r>
          </w:p>
          <w:p>
            <w:pPr>
              <w:pStyle w:val="Normal"/>
              <w:widowControl w:val="false"/>
              <w:numPr>
                <w:ilvl w:val="0"/>
                <w:numId w:val="4"/>
              </w:numPr>
              <w:rPr>
                <w:rFonts w:ascii="Arial" w:hAnsi="Arial" w:cs="Arial"/>
                <w:sz w:val="22"/>
                <w:szCs w:val="22"/>
              </w:rPr>
            </w:pPr>
            <w:r>
              <w:rPr>
                <w:rFonts w:cs="Arial" w:ascii="Arial" w:hAnsi="Arial"/>
                <w:sz w:val="22"/>
                <w:szCs w:val="22"/>
              </w:rPr>
              <w:t>Participant moved &gt; 3 mm Total (Y/N)</w:t>
            </w:r>
          </w:p>
          <w:p>
            <w:pPr>
              <w:pStyle w:val="Normal"/>
              <w:widowControl w:val="false"/>
              <w:numPr>
                <w:ilvl w:val="0"/>
                <w:numId w:val="4"/>
              </w:numPr>
              <w:rPr>
                <w:rFonts w:ascii="Arial" w:hAnsi="Arial" w:cs="Arial"/>
                <w:sz w:val="22"/>
                <w:szCs w:val="22"/>
              </w:rPr>
            </w:pPr>
            <w:r>
              <w:rPr>
                <w:rFonts w:cs="Arial" w:ascii="Arial" w:hAnsi="Arial"/>
                <w:sz w:val="22"/>
                <w:szCs w:val="22"/>
              </w:rPr>
              <w:t>Duration of the resting-state run(s)</w:t>
            </w:r>
          </w:p>
          <w:p>
            <w:pPr>
              <w:pStyle w:val="Normal"/>
              <w:widowControl w:val="false"/>
              <w:ind w:left="1080" w:hanging="0"/>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u w:val="single"/>
              </w:rPr>
            </w:pPr>
            <w:r>
              <w:rPr>
                <w:rFonts w:cs="Arial" w:ascii="Arial" w:hAnsi="Arial"/>
                <w:sz w:val="22"/>
                <w:szCs w:val="22"/>
                <w:u w:val="single"/>
              </w:rPr>
              <w:t>Preprocessing:</w:t>
            </w:r>
          </w:p>
          <w:p>
            <w:pPr>
              <w:pStyle w:val="Normal"/>
              <w:widowControl w:val="false"/>
              <w:rPr>
                <w:rFonts w:ascii="Arial" w:hAnsi="Arial" w:cs="Arial"/>
                <w:sz w:val="22"/>
                <w:szCs w:val="22"/>
              </w:rPr>
            </w:pPr>
            <w:r>
              <w:rPr>
                <w:rFonts w:cs="Arial" w:ascii="Arial" w:hAnsi="Arial"/>
                <w:sz w:val="22"/>
                <w:szCs w:val="22"/>
              </w:rPr>
              <w:t>There are several critical elements to preprocessing that must be employed for use as a CDE, using any of the publicly available neuroimaging data analysis software packages (Statistical Parametric Mapping [SPM], FMRIB Software Library [FSL], and Analysis of Functional Neuroimages [AFNI]):</w:t>
            </w:r>
          </w:p>
          <w:p>
            <w:pPr>
              <w:pStyle w:val="Normal"/>
              <w:widowControl w:val="false"/>
              <w:numPr>
                <w:ilvl w:val="0"/>
                <w:numId w:val="1"/>
              </w:numPr>
              <w:rPr>
                <w:rFonts w:ascii="Arial" w:hAnsi="Arial" w:cs="Arial"/>
                <w:sz w:val="22"/>
                <w:szCs w:val="22"/>
              </w:rPr>
            </w:pPr>
            <w:r>
              <w:rPr>
                <w:rFonts w:cs="Arial" w:ascii="Arial" w:hAnsi="Arial"/>
                <w:sz w:val="22"/>
                <w:szCs w:val="22"/>
              </w:rPr>
              <w:t>Functional images should be motion corrected (i.e., aligned to each other across acquisitions) and motion parameters recorded (Van Dijk et al., 2010).</w:t>
            </w:r>
          </w:p>
          <w:p>
            <w:pPr>
              <w:pStyle w:val="Normal"/>
              <w:widowControl w:val="false"/>
              <w:numPr>
                <w:ilvl w:val="0"/>
                <w:numId w:val="1"/>
              </w:numPr>
              <w:rPr>
                <w:rFonts w:ascii="Arial" w:hAnsi="Arial" w:cs="Arial"/>
                <w:sz w:val="22"/>
                <w:szCs w:val="22"/>
              </w:rPr>
            </w:pPr>
            <w:r>
              <w:rPr>
                <w:rFonts w:cs="Arial" w:ascii="Arial" w:hAnsi="Arial"/>
                <w:sz w:val="22"/>
                <w:szCs w:val="22"/>
              </w:rPr>
              <w:t>Normalization to a template should be non-linear to better accommodate for inter-individual anatomical differences and effects of age or degeneration.</w:t>
            </w:r>
          </w:p>
          <w:p>
            <w:pPr>
              <w:pStyle w:val="Normal"/>
              <w:widowControl w:val="false"/>
              <w:numPr>
                <w:ilvl w:val="0"/>
                <w:numId w:val="1"/>
              </w:numPr>
              <w:rPr>
                <w:rFonts w:ascii="Arial" w:hAnsi="Arial" w:cs="Arial"/>
                <w:sz w:val="22"/>
                <w:szCs w:val="22"/>
              </w:rPr>
            </w:pPr>
            <w:r>
              <w:rPr>
                <w:rFonts w:cs="Arial" w:ascii="Arial" w:hAnsi="Arial"/>
                <w:sz w:val="22"/>
                <w:szCs w:val="22"/>
              </w:rPr>
              <w:t>The template used for normalization of data used as a CDE should be in Montreal Neurological Institute (MNI) space (Van Dijk et al., 2010).</w:t>
            </w:r>
          </w:p>
          <w:p>
            <w:pPr>
              <w:pStyle w:val="Normal"/>
              <w:widowControl w:val="false"/>
              <w:numPr>
                <w:ilvl w:val="0"/>
                <w:numId w:val="1"/>
              </w:numPr>
              <w:rPr>
                <w:rFonts w:ascii="Arial" w:hAnsi="Arial" w:cs="Arial"/>
                <w:sz w:val="22"/>
                <w:szCs w:val="22"/>
              </w:rPr>
            </w:pPr>
            <w:r>
              <w:rPr>
                <w:rFonts w:cs="Arial" w:ascii="Arial" w:hAnsi="Arial"/>
                <w:sz w:val="22"/>
                <w:szCs w:val="22"/>
              </w:rPr>
              <w:t>Spatial smoothing should be used at 6 mm range (full-width half-max) (Van Dijk et al., 2010).</w:t>
            </w:r>
          </w:p>
          <w:p>
            <w:pPr>
              <w:pStyle w:val="Normal"/>
              <w:widowControl w:val="false"/>
              <w:numPr>
                <w:ilvl w:val="0"/>
                <w:numId w:val="1"/>
              </w:numPr>
              <w:rPr>
                <w:rFonts w:ascii="Arial" w:hAnsi="Arial" w:cs="Arial"/>
                <w:sz w:val="22"/>
                <w:szCs w:val="22"/>
              </w:rPr>
            </w:pPr>
            <w:r>
              <w:rPr>
                <w:rFonts w:cs="Arial" w:ascii="Arial" w:hAnsi="Arial"/>
                <w:sz w:val="22"/>
                <w:szCs w:val="22"/>
              </w:rPr>
              <w:t>Bandpass temporal filtering should be performed, retaining data from 0.008 to 0.1 Hz, as this is the frequency band in which the majority of power is for resting-state data and thus minimizes the impact of noise (Cordes et al., 2001).</w:t>
            </w:r>
          </w:p>
          <w:p>
            <w:pPr>
              <w:pStyle w:val="Normal"/>
              <w:widowControl w:val="false"/>
              <w:numPr>
                <w:ilvl w:val="0"/>
                <w:numId w:val="1"/>
              </w:numPr>
              <w:rPr>
                <w:rFonts w:ascii="Arial" w:hAnsi="Arial" w:cs="Arial"/>
                <w:sz w:val="22"/>
                <w:szCs w:val="22"/>
              </w:rPr>
            </w:pPr>
            <w:r>
              <w:rPr>
                <w:rFonts w:cs="Arial" w:ascii="Arial" w:hAnsi="Arial"/>
                <w:sz w:val="22"/>
                <w:szCs w:val="22"/>
              </w:rPr>
              <w:t>Physiological data (respiration and heart rate) should be recorded simultaneous with the resting-state acquisition when possible.</w:t>
            </w:r>
          </w:p>
          <w:p>
            <w:pPr>
              <w:pStyle w:val="Normal"/>
              <w:widowControl w:val="false"/>
              <w:numPr>
                <w:ilvl w:val="0"/>
                <w:numId w:val="1"/>
              </w:numPr>
              <w:rPr>
                <w:rFonts w:ascii="Arial" w:hAnsi="Arial" w:cs="Arial"/>
                <w:sz w:val="22"/>
                <w:szCs w:val="22"/>
              </w:rPr>
            </w:pPr>
            <w:r>
              <w:rPr>
                <w:rFonts w:cs="Arial" w:ascii="Arial" w:hAnsi="Arial"/>
                <w:sz w:val="22"/>
                <w:szCs w:val="22"/>
              </w:rPr>
              <w:t xml:space="preserve"> </w:t>
            </w:r>
            <w:r>
              <w:rPr>
                <w:rFonts w:cs="Arial" w:ascii="Arial" w:hAnsi="Arial"/>
                <w:sz w:val="22"/>
                <w:szCs w:val="22"/>
              </w:rPr>
              <w:t>The following data should be recorded as part of inclusion of resting-state fMRI as a CDE:</w:t>
            </w:r>
          </w:p>
          <w:p>
            <w:pPr>
              <w:pStyle w:val="Normal"/>
              <w:widowControl w:val="false"/>
              <w:numPr>
                <w:ilvl w:val="0"/>
                <w:numId w:val="5"/>
              </w:numPr>
              <w:rPr>
                <w:rFonts w:ascii="Arial" w:hAnsi="Arial" w:cs="Arial"/>
                <w:sz w:val="22"/>
                <w:szCs w:val="22"/>
              </w:rPr>
            </w:pPr>
            <w:r>
              <w:rPr>
                <w:rFonts w:cs="Arial" w:ascii="Arial" w:hAnsi="Arial"/>
                <w:sz w:val="22"/>
                <w:szCs w:val="22"/>
              </w:rPr>
              <w:t>Method for motion correction</w:t>
            </w:r>
          </w:p>
          <w:p>
            <w:pPr>
              <w:pStyle w:val="Normal"/>
              <w:widowControl w:val="false"/>
              <w:numPr>
                <w:ilvl w:val="0"/>
                <w:numId w:val="5"/>
              </w:numPr>
              <w:rPr>
                <w:rFonts w:ascii="Arial" w:hAnsi="Arial" w:cs="Arial"/>
                <w:sz w:val="22"/>
                <w:szCs w:val="22"/>
              </w:rPr>
            </w:pPr>
            <w:r>
              <w:rPr>
                <w:rFonts w:cs="Arial" w:ascii="Arial" w:hAnsi="Arial"/>
                <w:sz w:val="22"/>
                <w:szCs w:val="22"/>
              </w:rPr>
              <w:t>Method for normalizing the data to the Montreal Neurological Institute Space template</w:t>
            </w:r>
          </w:p>
          <w:p>
            <w:pPr>
              <w:pStyle w:val="Normal"/>
              <w:widowControl w:val="false"/>
              <w:numPr>
                <w:ilvl w:val="0"/>
                <w:numId w:val="5"/>
              </w:numPr>
              <w:rPr>
                <w:rFonts w:ascii="Arial" w:hAnsi="Arial" w:cs="Arial"/>
                <w:sz w:val="22"/>
                <w:szCs w:val="22"/>
              </w:rPr>
            </w:pPr>
            <w:r>
              <w:rPr>
                <w:rFonts w:cs="Arial" w:ascii="Arial" w:hAnsi="Arial"/>
                <w:sz w:val="22"/>
                <w:szCs w:val="22"/>
              </w:rPr>
              <w:t>Full Width Half-Max (FWHM) of the spatial smoothing (e.g., 6 mm)</w:t>
            </w:r>
          </w:p>
          <w:p>
            <w:pPr>
              <w:pStyle w:val="Normal"/>
              <w:widowControl w:val="false"/>
              <w:numPr>
                <w:ilvl w:val="0"/>
                <w:numId w:val="5"/>
              </w:numPr>
              <w:rPr>
                <w:rFonts w:ascii="Arial" w:hAnsi="Arial" w:cs="Arial"/>
                <w:sz w:val="22"/>
                <w:szCs w:val="22"/>
              </w:rPr>
            </w:pPr>
            <w:r>
              <w:rPr>
                <w:rFonts w:cs="Arial" w:ascii="Arial" w:hAnsi="Arial"/>
                <w:sz w:val="22"/>
                <w:szCs w:val="22"/>
              </w:rPr>
              <w:t>Bandpass temporal filtering performed</w:t>
            </w:r>
          </w:p>
          <w:p>
            <w:pPr>
              <w:pStyle w:val="Normal"/>
              <w:widowControl w:val="false"/>
              <w:numPr>
                <w:ilvl w:val="0"/>
                <w:numId w:val="5"/>
              </w:numPr>
              <w:rPr>
                <w:rFonts w:ascii="Arial" w:hAnsi="Arial" w:cs="Arial"/>
                <w:sz w:val="22"/>
                <w:szCs w:val="22"/>
              </w:rPr>
            </w:pPr>
            <w:r>
              <w:rPr>
                <w:rFonts w:cs="Arial" w:ascii="Arial" w:hAnsi="Arial"/>
                <w:sz w:val="22"/>
                <w:szCs w:val="22"/>
              </w:rPr>
              <w:t>Whether physiological variables were acquired and regressed out (heart rate, respiration)</w:t>
            </w:r>
          </w:p>
          <w:p>
            <w:pPr>
              <w:pStyle w:val="Normal"/>
              <w:widowControl w:val="false"/>
              <w:numPr>
                <w:ilvl w:val="0"/>
                <w:numId w:val="5"/>
              </w:numPr>
              <w:rPr>
                <w:rFonts w:ascii="Arial" w:hAnsi="Arial" w:cs="Arial"/>
                <w:sz w:val="22"/>
                <w:szCs w:val="22"/>
              </w:rPr>
            </w:pPr>
            <w:r>
              <w:rPr>
                <w:rFonts w:cs="Arial" w:ascii="Arial" w:hAnsi="Arial"/>
                <w:sz w:val="22"/>
                <w:szCs w:val="22"/>
              </w:rPr>
              <w:t>Whether motion parameters regressed out</w:t>
            </w:r>
          </w:p>
          <w:p>
            <w:pPr>
              <w:pStyle w:val="Normal"/>
              <w:widowControl w:val="false"/>
              <w:numPr>
                <w:ilvl w:val="0"/>
                <w:numId w:val="5"/>
              </w:numPr>
              <w:rPr>
                <w:rFonts w:ascii="Arial" w:hAnsi="Arial" w:cs="Arial"/>
                <w:sz w:val="22"/>
                <w:szCs w:val="22"/>
              </w:rPr>
            </w:pPr>
            <w:r>
              <w:rPr>
                <w:rFonts w:cs="Arial" w:ascii="Arial" w:hAnsi="Arial"/>
                <w:sz w:val="22"/>
                <w:szCs w:val="22"/>
              </w:rPr>
              <w:t>Whether white matter, CSF, or combined white matter/CSF signal was regressed out</w:t>
            </w:r>
          </w:p>
          <w:p>
            <w:pPr>
              <w:pStyle w:val="Normal"/>
              <w:widowControl w:val="false"/>
              <w:rPr>
                <w:rFonts w:ascii="Arial" w:hAnsi="Arial" w:cs="Arial"/>
                <w:sz w:val="22"/>
                <w:szCs w:val="22"/>
                <w:u w:val="single"/>
              </w:rPr>
            </w:pPr>
            <w:r>
              <w:rPr>
                <w:rFonts w:cs="Arial" w:ascii="Arial" w:hAnsi="Arial"/>
                <w:sz w:val="22"/>
                <w:szCs w:val="22"/>
                <w:u w:val="single"/>
              </w:rPr>
              <w:t>Analysis:</w:t>
            </w:r>
          </w:p>
          <w:p>
            <w:pPr>
              <w:pStyle w:val="Normal"/>
              <w:widowControl w:val="false"/>
              <w:numPr>
                <w:ilvl w:val="0"/>
                <w:numId w:val="6"/>
              </w:numPr>
              <w:rPr>
                <w:rFonts w:ascii="Arial" w:hAnsi="Arial" w:cs="Arial"/>
                <w:sz w:val="22"/>
                <w:szCs w:val="22"/>
              </w:rPr>
            </w:pPr>
            <w:r>
              <w:rPr>
                <w:rFonts w:cs="Arial" w:ascii="Arial" w:hAnsi="Arial"/>
                <w:sz w:val="22"/>
                <w:szCs w:val="22"/>
              </w:rPr>
              <w:t>In addition to the seeded region for functional connectivity analyses (see below), regressors corresponding to the following should be included in the multiple regression model: physiological noise parameters such as respiration and heart rate, motion parameters from the realignment step and signal from a white matter, CSF, or combined white matter/CSF mask (Van Dijk et al., 2010; Van Dijk et al., 2012; Power et al., 2014; Chang et al., 2009; Murphy et al., 2009; Fox et al., 2009). Including a CSF/white matter mask is recommended over whole-brain global signal regression as the latter induces artifactual anticorrelations (Murphy et al., 2009).</w:t>
            </w:r>
          </w:p>
          <w:p>
            <w:pPr>
              <w:pStyle w:val="Normal"/>
              <w:widowControl w:val="false"/>
              <w:numPr>
                <w:ilvl w:val="0"/>
                <w:numId w:val="6"/>
              </w:numPr>
              <w:rPr>
                <w:rFonts w:ascii="Arial" w:hAnsi="Arial" w:cs="Arial"/>
                <w:sz w:val="22"/>
                <w:szCs w:val="22"/>
              </w:rPr>
            </w:pPr>
            <w:r>
              <w:rPr>
                <w:rFonts w:cs="Arial" w:ascii="Arial" w:hAnsi="Arial"/>
                <w:sz w:val="22"/>
                <w:szCs w:val="22"/>
              </w:rPr>
              <w:t>Functional connectivity seeds should be placed at the locations noted below as well as in the amygdala and hippocampus based on the Automated Anatomical Labeling atlas (Tzourio-Mazoyer et al., 2002).</w:t>
            </w:r>
          </w:p>
          <w:p>
            <w:pPr>
              <w:pStyle w:val="Normal"/>
              <w:widowControl w:val="false"/>
              <w:rPr>
                <w:rFonts w:ascii="Arial" w:hAnsi="Arial" w:cs="Arial"/>
                <w:sz w:val="22"/>
                <w:szCs w:val="22"/>
              </w:rPr>
            </w:pPr>
            <w:r>
              <w:rPr>
                <w:rFonts w:cs="Arial" w:ascii="Arial" w:hAnsi="Arial"/>
                <w:sz w:val="22"/>
                <w:szCs w:val="22"/>
              </w:rPr>
            </w:r>
          </w:p>
          <w:tbl>
            <w:tblPr>
              <w:tblW w:w="76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51"/>
              <w:gridCol w:w="2393"/>
            </w:tblGrid>
            <w:tr>
              <w:trPr/>
              <w:tc>
                <w:tcPr>
                  <w:tcW w:w="764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b/>
                      <w:b/>
                      <w:bCs/>
                      <w:sz w:val="22"/>
                      <w:szCs w:val="22"/>
                    </w:rPr>
                  </w:pPr>
                  <w:r>
                    <w:rPr>
                      <w:rFonts w:eastAsia="Calibri" w:cs="Arial" w:ascii="Arial" w:hAnsi="Arial"/>
                      <w:b/>
                      <w:bCs/>
                      <w:sz w:val="22"/>
                      <w:szCs w:val="22"/>
                    </w:rPr>
                    <w:t>Seed regions for functional connectivity analysis (Taken from Yeo et al., 2011; Van Dijk et al., 2010). Note the seed regions below are all on the left hemisphere, and equivalent regions on the right hemispheres should also be used (by making the first coordinate [x] positive instead of negative).</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b/>
                      <w:b/>
                      <w:bCs/>
                      <w:sz w:val="22"/>
                      <w:szCs w:val="22"/>
                      <w:u w:val="single"/>
                    </w:rPr>
                  </w:pPr>
                  <w:r>
                    <w:rPr>
                      <w:rFonts w:eastAsia="Calibri" w:cs="Arial" w:ascii="Arial" w:hAnsi="Arial"/>
                      <w:b/>
                      <w:bCs/>
                      <w:sz w:val="22"/>
                      <w:szCs w:val="22"/>
                      <w:u w:val="single"/>
                    </w:rPr>
                  </w:r>
                </w:p>
                <w:p>
                  <w:pPr>
                    <w:pStyle w:val="Normal"/>
                    <w:widowControl w:val="false"/>
                    <w:rPr>
                      <w:rFonts w:ascii="Arial" w:hAnsi="Arial" w:eastAsia="Calibri" w:cs="Arial"/>
                      <w:b/>
                      <w:b/>
                      <w:bCs/>
                      <w:sz w:val="22"/>
                      <w:szCs w:val="22"/>
                      <w:u w:val="single"/>
                    </w:rPr>
                  </w:pPr>
                  <w:r>
                    <w:rPr>
                      <w:rFonts w:eastAsia="Calibri" w:cs="Arial" w:ascii="Arial" w:hAnsi="Arial"/>
                      <w:b/>
                      <w:bCs/>
                      <w:sz w:val="22"/>
                      <w:szCs w:val="22"/>
                      <w:u w:val="single"/>
                    </w:rPr>
                    <w:t>Seed Region</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b/>
                      <w:b/>
                      <w:bCs/>
                      <w:sz w:val="22"/>
                      <w:szCs w:val="22"/>
                      <w:u w:val="single"/>
                    </w:rPr>
                  </w:pPr>
                  <w:r>
                    <w:rPr>
                      <w:rFonts w:eastAsia="Calibri" w:cs="Arial" w:ascii="Arial" w:hAnsi="Arial"/>
                      <w:b/>
                      <w:bCs/>
                      <w:sz w:val="22"/>
                      <w:szCs w:val="22"/>
                      <w:u w:val="single"/>
                    </w:rPr>
                    <w:t>MNI coordinates (x,y,z)</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Dorsal attention A (left frontal eye field)</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-22, -8, 54</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Dorsal attention B (left intraparietal sulcus)</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-34, -38, 44</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Dorsal attention C (left superior lateral occipital cortex)</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-18, -69, 51</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Dorsal attention D (left inferior lateral occipital cortex)</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-51, -64, -2</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Dorsal attention E (left precuneus)</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-8, -63, 57</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Dorsal attention F (left inferior frontal junction)</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-49, 3, 34</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Ventral attention A (left anterior middle frontal gyrus)</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-31, 39, 30</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Ventral attention B (left parietal operculum)</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-54, -36, 27</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Ventral attention C (left middle temporal gyrus)</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-60, -59, 11</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Ventral attention D (left dorsal anterior cingulate cortex)</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-5, 15, 32</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Ventral attention E (left posterior cingulate cortex)</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-8, -24, 39</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Ventral attention F (left anterior insula)</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-31, 11, 8</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Control A (left frontal pole)</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-40, 50, 7</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Control B (left supramarginal gyrus/superior parietal lobule)</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-43, -50, 46</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Control C (left middle temporal gyrus)</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-57, -54, -9</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Control D (left dorsomedial prefrontal cortex)</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-5, 22, 47</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Control E (left mid-cingulate cortex)</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-6, 4, 29</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Control F (left precuneus)</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-4, -76, 45</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Default A (left superior frontal cortex)</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-27, 23, 48</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Default B (left angular gyrus)</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-41, -60, 29</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Default C (left middle temporal gyrus)</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-64, -20, -9</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Default D (left anterior medial frontal cortex)</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-7, 49, 18</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Default E (left parahippocampal gyrus)</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-25, -32, -18</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Default F (left posterior cingulate cortex)</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-7, -52, 26</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Left motor cortex</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-36, -25, 57</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Left auditory cortex</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-43, -26, 12</w:t>
                  </w:r>
                </w:p>
              </w:tc>
            </w:tr>
            <w:tr>
              <w:trPr/>
              <w:tc>
                <w:tcPr>
                  <w:tcW w:w="5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eastAsia="Calibri" w:cs="Arial"/>
                      <w:sz w:val="22"/>
                      <w:szCs w:val="22"/>
                    </w:rPr>
                  </w:pPr>
                  <w:r>
                    <w:rPr>
                      <w:rFonts w:eastAsia="Calibri" w:cs="Arial" w:ascii="Arial" w:hAnsi="Arial"/>
                      <w:sz w:val="22"/>
                      <w:szCs w:val="22"/>
                    </w:rPr>
                    <w:t>Left visual cortex</w:t>
                  </w:r>
                </w:p>
              </w:tc>
              <w:tc>
                <w:tcPr>
                  <w:tcW w:w="239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eastAsia="Calibri" w:cs="Arial"/>
                      <w:sz w:val="22"/>
                      <w:szCs w:val="22"/>
                    </w:rPr>
                  </w:pPr>
                  <w:r>
                    <w:rPr>
                      <w:rFonts w:eastAsia="Calibri" w:cs="Arial" w:ascii="Arial" w:hAnsi="Arial"/>
                      <w:sz w:val="22"/>
                      <w:szCs w:val="22"/>
                    </w:rPr>
                    <w:t>-30, -88, 0</w:t>
                  </w:r>
                </w:p>
              </w:tc>
            </w:tr>
          </w:tbl>
          <w:p>
            <w:pPr>
              <w:pStyle w:val="Normal"/>
              <w:widowControl w:val="false"/>
              <w:rPr>
                <w:rFonts w:ascii="Arial" w:hAnsi="Arial" w:cs="Arial"/>
                <w:sz w:val="22"/>
                <w:szCs w:val="22"/>
              </w:rPr>
            </w:pPr>
            <w:r>
              <w:rPr>
                <w:rFonts w:cs="Arial" w:ascii="Arial" w:hAnsi="Arial"/>
                <w:sz w:val="22"/>
                <w:szCs w:val="22"/>
              </w:rPr>
            </w:r>
          </w:p>
          <w:p>
            <w:pPr>
              <w:pStyle w:val="Normal"/>
              <w:widowControl w:val="false"/>
              <w:numPr>
                <w:ilvl w:val="0"/>
                <w:numId w:val="6"/>
              </w:numPr>
              <w:rPr>
                <w:rFonts w:ascii="Arial" w:hAnsi="Arial" w:cs="Arial"/>
                <w:sz w:val="22"/>
                <w:szCs w:val="22"/>
              </w:rPr>
            </w:pPr>
            <w:r>
              <w:rPr>
                <w:rFonts w:cs="Arial" w:ascii="Arial" w:hAnsi="Arial"/>
                <w:sz w:val="22"/>
                <w:szCs w:val="22"/>
              </w:rPr>
              <w:t>Results images should be converted to z-maps, making data sharing as a CDE easier.</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u w:val="single"/>
              </w:rPr>
              <w:t>Interpretational issues</w:t>
            </w:r>
            <w:r>
              <w:rPr>
                <w:rFonts w:cs="Arial" w:ascii="Arial" w:hAnsi="Arial"/>
                <w:sz w:val="22"/>
                <w:szCs w:val="22"/>
              </w:rPr>
              <w:t>:</w:t>
            </w:r>
          </w:p>
          <w:p>
            <w:pPr>
              <w:pStyle w:val="Normal"/>
              <w:widowControl w:val="false"/>
              <w:numPr>
                <w:ilvl w:val="0"/>
                <w:numId w:val="2"/>
              </w:numPr>
              <w:rPr>
                <w:rFonts w:ascii="Arial" w:hAnsi="Arial" w:cs="Arial"/>
                <w:sz w:val="22"/>
                <w:szCs w:val="22"/>
              </w:rPr>
            </w:pPr>
            <w:r>
              <w:rPr>
                <w:rFonts w:cs="Arial" w:ascii="Arial" w:hAnsi="Arial"/>
                <w:sz w:val="22"/>
                <w:szCs w:val="22"/>
              </w:rPr>
              <w:t>Motion, even within allowable total limits, has been found to correlate with and potentially confound resting-state functional connectivity analyses (e.g., van Dijk et al., 2012), even when acquisition-by-acquisition motion parameters are regressed out during analysis. It is recommended therefore that investigators examine whether motion parameters differ between groups or individuals of interest and consider additional data processing with motion-specific approaches such as the recently proposed censoring method to remove higher motion acquisitions (Power et al., 2014).</w:t>
            </w:r>
          </w:p>
          <w:p>
            <w:pPr>
              <w:pStyle w:val="Normal"/>
              <w:widowControl w:val="false"/>
              <w:numPr>
                <w:ilvl w:val="0"/>
                <w:numId w:val="2"/>
              </w:numPr>
              <w:rPr>
                <w:rFonts w:ascii="Arial" w:hAnsi="Arial" w:cs="Arial"/>
                <w:b/>
                <w:b/>
                <w:bCs/>
                <w:sz w:val="22"/>
                <w:szCs w:val="22"/>
                <w:u w:val="single"/>
              </w:rPr>
            </w:pPr>
            <w:r>
              <w:rPr>
                <w:rFonts w:cs="Arial" w:ascii="Arial" w:hAnsi="Arial"/>
                <w:sz w:val="22"/>
                <w:szCs w:val="22"/>
              </w:rPr>
              <w:t>Caution should be used when interpreting negative correlations in resting-state functional connectivity data (i.e., anticorrelations). While it is conceivable that these arise from physiological sources, these may also be artifactually introduced by global signal regression during preprocessing. While white matter and CSF signal regression should have minimal impact on anticorrelations, caution is nonetheless warranted.</w:t>
            </w:r>
          </w:p>
        </w:tc>
      </w:tr>
      <w:tr>
        <w:trPr>
          <w:trHeight w:val="359" w:hRule="atLeast"/>
        </w:trPr>
        <w:tc>
          <w:tcPr>
            <w:tcW w:w="2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16"/>
                <w:szCs w:val="16"/>
              </w:rPr>
            </w:pPr>
            <w:r>
              <w:rPr>
                <w:rFonts w:cs="Arial" w:ascii="Arial" w:hAnsi="Arial"/>
                <w:b/>
                <w:sz w:val="22"/>
                <w:szCs w:val="22"/>
              </w:rPr>
              <w:t>Participant:</w:t>
            </w:r>
          </w:p>
        </w:tc>
        <w:tc>
          <w:tcPr>
            <w:tcW w:w="86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Adolescents and adults, ages 12 and older</w:t>
            </w:r>
          </w:p>
        </w:tc>
      </w:tr>
      <w:tr>
        <w:trPr>
          <w:trHeight w:val="350" w:hRule="atLeast"/>
        </w:trPr>
        <w:tc>
          <w:tcPr>
            <w:tcW w:w="2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 w:val="22"/>
                <w:szCs w:val="22"/>
              </w:rPr>
            </w:pPr>
            <w:r>
              <w:rPr>
                <w:rFonts w:cs="Arial" w:ascii="Arial" w:hAnsi="Arial"/>
                <w:b/>
                <w:sz w:val="22"/>
                <w:szCs w:val="22"/>
              </w:rPr>
              <w:t>Source:</w:t>
            </w:r>
          </w:p>
        </w:tc>
        <w:tc>
          <w:tcPr>
            <w:tcW w:w="86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b/>
                <w:sz w:val="22"/>
                <w:szCs w:val="22"/>
                <w:u w:val="single"/>
              </w:rPr>
              <w:t>Primary source</w:t>
            </w:r>
            <w:r>
              <w:rPr>
                <w:rFonts w:cs="Arial" w:ascii="Arial" w:hAnsi="Arial"/>
                <w:sz w:val="22"/>
                <w:szCs w:val="22"/>
              </w:rPr>
              <w:t>:</w:t>
            </w:r>
          </w:p>
          <w:p>
            <w:pPr>
              <w:pStyle w:val="Normal"/>
              <w:widowControl w:val="false"/>
              <w:rPr>
                <w:rFonts w:ascii="Arial" w:hAnsi="Arial" w:cs="Arial"/>
                <w:sz w:val="22"/>
                <w:szCs w:val="22"/>
              </w:rPr>
            </w:pPr>
            <w:r>
              <w:rPr>
                <w:rFonts w:cs="Arial" w:ascii="Arial" w:hAnsi="Arial"/>
                <w:sz w:val="22"/>
                <w:szCs w:val="22"/>
              </w:rPr>
              <w:t xml:space="preserve">Van Dijk, K. R., Hedden, T., Venkataraman, A., Evans, K. C., Lazar, S. W., &amp; Buckner, R. L. (2010). Intrinsic functional connectivity as a tool for human connectomics: Theory, properties, and optimization. </w:t>
            </w:r>
            <w:r>
              <w:rPr>
                <w:rFonts w:cs="Arial" w:ascii="Arial" w:hAnsi="Arial"/>
                <w:i/>
                <w:sz w:val="22"/>
                <w:szCs w:val="22"/>
              </w:rPr>
              <w:t>Journal of Neurophysiology, 103</w:t>
            </w:r>
            <w:r>
              <w:rPr>
                <w:rFonts w:cs="Arial" w:ascii="Arial" w:hAnsi="Arial"/>
                <w:sz w:val="22"/>
                <w:szCs w:val="22"/>
              </w:rPr>
              <w:t>(1), 297–321.</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b/>
                <w:b/>
                <w:sz w:val="22"/>
                <w:szCs w:val="22"/>
              </w:rPr>
            </w:pPr>
            <w:r>
              <w:rPr>
                <w:rFonts w:cs="Arial" w:ascii="Arial" w:hAnsi="Arial"/>
                <w:b/>
                <w:sz w:val="22"/>
                <w:szCs w:val="22"/>
              </w:rPr>
              <w:t>ADDITIONAL REFERENCES FOR EACH COMPONENT OF THE PROTOCOL:</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b/>
                <w:b/>
                <w:bCs/>
                <w:sz w:val="22"/>
                <w:szCs w:val="22"/>
                <w:u w:val="single"/>
              </w:rPr>
            </w:pPr>
            <w:r>
              <w:rPr>
                <w:rFonts w:cs="Arial" w:ascii="Arial" w:hAnsi="Arial"/>
                <w:b/>
                <w:bCs/>
                <w:sz w:val="22"/>
                <w:szCs w:val="22"/>
                <w:u w:val="single"/>
              </w:rPr>
              <w:t>Acquisition:</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 xml:space="preserve">Birn, R. M., Molloy, E. K., Patriat, R., Parker, T., Meier, T. B., Kirk, G. R., Nair, V. A., Meyerand, M. E., &amp; Prabhakaran, V. (2013). The effect of resting condition on resting-state fMRI reliability and consistency: a comparison between resting with eyes open, closed, and fixated. </w:t>
            </w:r>
            <w:r>
              <w:rPr>
                <w:rFonts w:cs="Arial" w:ascii="Arial" w:hAnsi="Arial"/>
                <w:i/>
                <w:sz w:val="22"/>
                <w:szCs w:val="22"/>
              </w:rPr>
              <w:t>Neuroimage, 78,</w:t>
            </w:r>
            <w:r>
              <w:rPr>
                <w:rFonts w:cs="Arial" w:ascii="Arial" w:hAnsi="Arial"/>
                <w:sz w:val="22"/>
                <w:szCs w:val="22"/>
              </w:rPr>
              <w:t xml:space="preserve"> 463–473.</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 xml:space="preserve">Biswal, B. B., Mennes, M., Zuo, X. N., Gohel, S., Kelly, C., Smith, S. M., Beckmann, C. F., Adelstein, J. S., Buckner, R. L., Colcombe, S., Dogonowski, A. M., Ernst, M., Fair, D., Hampson, M., Hoptman, M. J., Hyde, J. S., Kiviniemi, V. J., Kötter, R., Li, S. J., Lin, C. P., Lowe, M. J., Mackay, C., Madden, D. J., Madsen, K. H., Margulies, D. S., Mayberg, H. S., McMahon, K., Monk, C. S., Mostofsky, S. H., Nagel, B. J., Pekar, J. J., Peltier, S. J., Petersen, S. E., Riedl, V., Rombouts, S. A., Rypma, B., Schlaggar, B. L., Schmidt, S., Seidler, R. D., Siegle, G. J., Sorg, C., Teng, G. J., Veijola, J., Villringer, A., Walter, M., Wang ,L., Weng, X. C., Whitfield-Gabrieli, S., Williamson, P., Windischberger, C., Zang, Y. F., Zhang, H. Y., Castellanos, F. X., &amp; Milham, M. P. (2010). Toward discovery science of human brain function. </w:t>
            </w:r>
            <w:r>
              <w:rPr>
                <w:rFonts w:cs="Arial" w:ascii="Arial" w:hAnsi="Arial"/>
                <w:i/>
                <w:sz w:val="22"/>
                <w:szCs w:val="22"/>
              </w:rPr>
              <w:t>Proceedings of the National Academy of Sciences of the United States of America, 107</w:t>
            </w:r>
            <w:r>
              <w:rPr>
                <w:rFonts w:cs="Arial" w:ascii="Arial" w:hAnsi="Arial"/>
                <w:sz w:val="22"/>
                <w:szCs w:val="22"/>
              </w:rPr>
              <w:t>(10), 4734–4739.</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b/>
                <w:b/>
                <w:bCs/>
                <w:sz w:val="22"/>
                <w:szCs w:val="22"/>
                <w:u w:val="single"/>
              </w:rPr>
            </w:pPr>
            <w:r>
              <w:rPr>
                <w:rFonts w:cs="Arial" w:ascii="Arial" w:hAnsi="Arial"/>
                <w:b/>
                <w:bCs/>
                <w:sz w:val="22"/>
                <w:szCs w:val="22"/>
                <w:u w:val="single"/>
              </w:rPr>
              <w:t>Preprocessing:</w:t>
            </w:r>
          </w:p>
          <w:p>
            <w:pPr>
              <w:pStyle w:val="Normal"/>
              <w:widowControl w:val="false"/>
              <w:rPr>
                <w:rFonts w:ascii="Arial" w:hAnsi="Arial" w:cs="Arial"/>
                <w:sz w:val="22"/>
                <w:szCs w:val="22"/>
              </w:rPr>
            </w:pPr>
            <w:r>
              <w:rPr>
                <w:rFonts w:cs="Arial" w:ascii="Arial" w:hAnsi="Arial"/>
                <w:sz w:val="22"/>
                <w:szCs w:val="22"/>
              </w:rPr>
              <w:t xml:space="preserve">Cordes, D., Haughton, V. M., Arfanakis, K., Carew, J. D., Turski, P. A., Moritz, C. H., Quigley, M. A., &amp; Meyerand, M. E. (2001). Frequencies contributing to functional connectivity in the cerebral cortex in "resting-state" data. </w:t>
            </w:r>
            <w:r>
              <w:rPr>
                <w:rFonts w:cs="Arial" w:ascii="Arial" w:hAnsi="Arial"/>
                <w:i/>
                <w:sz w:val="22"/>
                <w:szCs w:val="22"/>
              </w:rPr>
              <w:t>American Journal of Neuroradiology, 22</w:t>
            </w:r>
            <w:r>
              <w:rPr>
                <w:rFonts w:cs="Arial" w:ascii="Arial" w:hAnsi="Arial"/>
                <w:sz w:val="22"/>
                <w:szCs w:val="22"/>
              </w:rPr>
              <w:t>(7), 1326–1333.</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b/>
                <w:b/>
                <w:bCs/>
                <w:sz w:val="22"/>
                <w:szCs w:val="22"/>
                <w:u w:val="single"/>
              </w:rPr>
            </w:pPr>
            <w:r>
              <w:rPr>
                <w:rFonts w:cs="Arial" w:ascii="Arial" w:hAnsi="Arial"/>
                <w:b/>
                <w:bCs/>
                <w:sz w:val="22"/>
                <w:szCs w:val="22"/>
                <w:u w:val="single"/>
              </w:rPr>
              <w:t>Analysis:</w:t>
            </w:r>
          </w:p>
          <w:p>
            <w:pPr>
              <w:pStyle w:val="Normal"/>
              <w:widowControl w:val="false"/>
              <w:rPr>
                <w:rFonts w:ascii="Arial" w:hAnsi="Arial" w:cs="Arial"/>
                <w:sz w:val="22"/>
                <w:szCs w:val="22"/>
              </w:rPr>
            </w:pPr>
            <w:r>
              <w:rPr>
                <w:rFonts w:cs="Arial" w:ascii="Arial" w:hAnsi="Arial"/>
                <w:sz w:val="22"/>
                <w:szCs w:val="22"/>
              </w:rPr>
              <w:t xml:space="preserve">Chang, C., Cunningham, J. P., &amp; Glover, G. H. (2009). Influence of heart rate on the BOLD signal: The cardiac response function. </w:t>
            </w:r>
            <w:r>
              <w:rPr>
                <w:rFonts w:cs="Arial" w:ascii="Arial" w:hAnsi="Arial"/>
                <w:i/>
                <w:sz w:val="22"/>
                <w:szCs w:val="22"/>
              </w:rPr>
              <w:t>Neuroimage, 44,</w:t>
            </w:r>
            <w:r>
              <w:rPr>
                <w:rFonts w:cs="Arial" w:ascii="Arial" w:hAnsi="Arial"/>
                <w:sz w:val="22"/>
                <w:szCs w:val="22"/>
              </w:rPr>
              <w:t xml:space="preserve"> 857–869.</w:t>
            </w:r>
          </w:p>
          <w:p>
            <w:pPr>
              <w:pStyle w:val="Normal"/>
              <w:widowControl w:val="false"/>
              <w:rPr>
                <w:rFonts w:ascii="Arial" w:hAnsi="Arial" w:cs="Arial"/>
                <w:b/>
                <w:b/>
                <w:bCs/>
                <w:sz w:val="22"/>
                <w:szCs w:val="22"/>
                <w:u w:val="single"/>
              </w:rPr>
            </w:pPr>
            <w:r>
              <w:rPr>
                <w:rFonts w:cs="Arial" w:ascii="Arial" w:hAnsi="Arial"/>
                <w:b/>
                <w:bCs/>
                <w:sz w:val="22"/>
                <w:szCs w:val="22"/>
                <w:u w:val="single"/>
              </w:rPr>
            </w:r>
          </w:p>
          <w:p>
            <w:pPr>
              <w:pStyle w:val="Normal"/>
              <w:widowControl w:val="false"/>
              <w:rPr>
                <w:rFonts w:ascii="Arial" w:hAnsi="Arial" w:cs="Arial"/>
                <w:sz w:val="22"/>
                <w:szCs w:val="22"/>
              </w:rPr>
            </w:pPr>
            <w:r>
              <w:rPr>
                <w:rFonts w:cs="Arial" w:ascii="Arial" w:hAnsi="Arial"/>
                <w:sz w:val="22"/>
                <w:szCs w:val="22"/>
              </w:rPr>
              <w:t xml:space="preserve">Fox, M. D., Zhang, D., Snyder, A. Z., &amp; Raichle, M. E. (2009). The global signal and observed anticorrelated resting state brain networks. </w:t>
            </w:r>
            <w:r>
              <w:rPr>
                <w:rFonts w:cs="Arial" w:ascii="Arial" w:hAnsi="Arial"/>
                <w:i/>
                <w:sz w:val="22"/>
                <w:szCs w:val="22"/>
              </w:rPr>
              <w:t>Journal of Neurophysiology, 101</w:t>
            </w:r>
            <w:r>
              <w:rPr>
                <w:rFonts w:cs="Arial" w:ascii="Arial" w:hAnsi="Arial"/>
                <w:sz w:val="22"/>
                <w:szCs w:val="22"/>
              </w:rPr>
              <w:t>(6), 3270–3283.</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Murphy, K., Birn, R. M., Handwerker, D. A., Jones, T. B., &amp; Bandettini, P. A. (2009). The impact of global signal regression on resting state correlations: are anti-correlated networks introduced?</w:t>
            </w:r>
            <w:r>
              <w:rPr/>
              <w:t xml:space="preserve"> </w:t>
            </w:r>
            <w:r>
              <w:rPr>
                <w:rFonts w:cs="Arial" w:ascii="Arial" w:hAnsi="Arial"/>
                <w:i/>
                <w:sz w:val="22"/>
                <w:szCs w:val="22"/>
              </w:rPr>
              <w:t>Neuroimage, 44</w:t>
            </w:r>
            <w:r>
              <w:rPr>
                <w:rFonts w:cs="Arial" w:ascii="Arial" w:hAnsi="Arial"/>
                <w:sz w:val="22"/>
                <w:szCs w:val="22"/>
              </w:rPr>
              <w:t>(3), 893–905.</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Helvetica" w:hAnsi="Helvetica"/>
                <w:color w:val="252525"/>
                <w:sz w:val="21"/>
                <w:szCs w:val="21"/>
                <w:shd w:fill="FFFFFF" w:val="clear"/>
              </w:rPr>
            </w:pPr>
            <w:r>
              <w:rPr>
                <w:rFonts w:ascii="Helvetica" w:hAnsi="Helvetica"/>
                <w:color w:val="252525"/>
                <w:sz w:val="21"/>
                <w:szCs w:val="21"/>
                <w:shd w:fill="FFFFFF" w:val="clear"/>
              </w:rPr>
              <w:t xml:space="preserve">Power, J. D., Barnes, K. A., Snyder, A. Z., Schlaggar, B. L., &amp; Petersen, S. E. (2011). Spurious but systematic correlations in resting state functional connectivity MRI arise from head motion. </w:t>
            </w:r>
            <w:r>
              <w:rPr>
                <w:rFonts w:ascii="Helvetica" w:hAnsi="Helvetica"/>
                <w:i/>
                <w:color w:val="252525"/>
                <w:sz w:val="21"/>
                <w:szCs w:val="21"/>
                <w:shd w:fill="FFFFFF" w:val="clear"/>
              </w:rPr>
              <w:t>Neuroimage, 59</w:t>
            </w:r>
            <w:r>
              <w:rPr>
                <w:rFonts w:ascii="Helvetica" w:hAnsi="Helvetica"/>
                <w:color w:val="252525"/>
                <w:sz w:val="21"/>
                <w:szCs w:val="21"/>
                <w:shd w:fill="FFFFFF" w:val="clear"/>
              </w:rPr>
              <w:t>(3), 2142–2154.</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ascii="Helvetica" w:hAnsi="Helvetica"/>
                <w:color w:val="252525"/>
                <w:sz w:val="21"/>
                <w:szCs w:val="21"/>
                <w:shd w:fill="FFFFFF" w:val="clear"/>
              </w:rPr>
              <w:t xml:space="preserve">Tzourio-Mazoyer, N., Landeau, B., Papathanassiou, D., Crivello, F., Etard, O., Delcroix, N., </w:t>
            </w:r>
            <w:r>
              <w:rPr>
                <w:rFonts w:ascii="Helvetica" w:hAnsi="Helvetica"/>
                <w:sz w:val="21"/>
                <w:szCs w:val="21"/>
                <w:shd w:fill="FFFFFF" w:val="clear"/>
              </w:rPr>
              <w:t>Mazoyer,</w:t>
            </w:r>
            <w:r>
              <w:rPr>
                <w:rStyle w:val="Appleconvertedspace"/>
                <w:rFonts w:ascii="Helvetica" w:hAnsi="Helvetica"/>
                <w:color w:val="252525"/>
                <w:sz w:val="21"/>
                <w:szCs w:val="21"/>
                <w:shd w:fill="FFFFFF" w:val="clear"/>
              </w:rPr>
              <w:t xml:space="preserve"> B., </w:t>
            </w:r>
            <w:r>
              <w:rPr>
                <w:rFonts w:ascii="Helvetica" w:hAnsi="Helvetica"/>
                <w:color w:val="252525"/>
                <w:sz w:val="21"/>
                <w:szCs w:val="21"/>
                <w:shd w:fill="FFFFFF" w:val="clear"/>
              </w:rPr>
              <w:t>&amp; Joliot, M. (2002). Automated anatomical labeling of activations in SPM using a macroscopic anatomical parcellation of the MNI MRI single-subject brain.</w:t>
            </w:r>
            <w:r>
              <w:rPr/>
              <w:t xml:space="preserve"> </w:t>
            </w:r>
            <w:r>
              <w:rPr>
                <w:rFonts w:ascii="Helvetica" w:hAnsi="Helvetica"/>
                <w:i/>
                <w:color w:val="252525"/>
                <w:sz w:val="21"/>
                <w:szCs w:val="21"/>
                <w:shd w:fill="FFFFFF" w:val="clear"/>
              </w:rPr>
              <w:t>Neuroimage,</w:t>
            </w:r>
            <w:r>
              <w:rPr>
                <w:rStyle w:val="Appleconvertedspace"/>
                <w:rFonts w:ascii="Helvetica" w:hAnsi="Helvetica"/>
                <w:i/>
                <w:color w:val="252525"/>
                <w:sz w:val="21"/>
                <w:szCs w:val="21"/>
                <w:shd w:fill="FFFFFF" w:val="clear"/>
              </w:rPr>
              <w:t> </w:t>
            </w:r>
            <w:r>
              <w:rPr>
                <w:rFonts w:ascii="Helvetica" w:hAnsi="Helvetica"/>
                <w:bCs/>
                <w:i/>
                <w:color w:val="252525"/>
                <w:sz w:val="21"/>
                <w:szCs w:val="21"/>
                <w:shd w:fill="FFFFFF" w:val="clear"/>
              </w:rPr>
              <w:t>15</w:t>
            </w:r>
            <w:r>
              <w:rPr>
                <w:rFonts w:ascii="Helvetica" w:hAnsi="Helvetica"/>
                <w:color w:val="252525"/>
                <w:sz w:val="21"/>
                <w:szCs w:val="21"/>
                <w:shd w:fill="FFFFFF" w:val="clear"/>
              </w:rPr>
              <w:t>(1), 273–289.</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 xml:space="preserve">Van Dijk, K. R., Sabuncu, M. R., &amp; Buckner, R. L. (2012). The influence of head motion on intrinsic functional connectivity MRI. </w:t>
            </w:r>
            <w:r>
              <w:rPr>
                <w:rFonts w:cs="Arial" w:ascii="Arial" w:hAnsi="Arial"/>
                <w:i/>
                <w:sz w:val="22"/>
                <w:szCs w:val="22"/>
              </w:rPr>
              <w:t>Neuroimage, 59</w:t>
            </w:r>
            <w:r>
              <w:rPr>
                <w:rFonts w:cs="Arial" w:ascii="Arial" w:hAnsi="Arial"/>
                <w:sz w:val="22"/>
                <w:szCs w:val="22"/>
              </w:rPr>
              <w:t>(1), 431–438.</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 xml:space="preserve">Yeo, B. T., Krienen, F. M., Sepulcre, J., Sabuncu, M. R., Lashkari, D., Hollinshead, M., Roffman, J. L., Smoller, J. W., Zöllei, L., Polimeni, J. R., Fischl, B., Liu, H., &amp; Buckner, R. L. (2011).The organization of the human cerebral cortex estimated by intrinsic functional connectivity. </w:t>
            </w:r>
            <w:r>
              <w:rPr>
                <w:rFonts w:cs="Arial" w:ascii="Arial" w:hAnsi="Arial"/>
                <w:i/>
                <w:sz w:val="22"/>
                <w:szCs w:val="22"/>
              </w:rPr>
              <w:t>Journal of Neurophysiology, 106</w:t>
            </w:r>
            <w:r>
              <w:rPr>
                <w:rFonts w:cs="Arial" w:ascii="Arial" w:hAnsi="Arial"/>
                <w:sz w:val="22"/>
                <w:szCs w:val="22"/>
              </w:rPr>
              <w:t>(3), 1125–1165.</w:t>
            </w:r>
          </w:p>
          <w:p>
            <w:pPr>
              <w:pStyle w:val="Normal"/>
              <w:widowControl w:val="false"/>
              <w:rPr>
                <w:rFonts w:ascii="Arial" w:hAnsi="Arial" w:cs="Arial"/>
                <w:b/>
                <w:b/>
                <w:bCs/>
                <w:sz w:val="22"/>
                <w:szCs w:val="22"/>
                <w:u w:val="single"/>
              </w:rPr>
            </w:pPr>
            <w:r>
              <w:rPr>
                <w:rFonts w:cs="Arial" w:ascii="Arial" w:hAnsi="Arial"/>
                <w:b/>
                <w:bCs/>
                <w:sz w:val="22"/>
                <w:szCs w:val="22"/>
                <w:u w:val="single"/>
              </w:rPr>
            </w:r>
          </w:p>
          <w:p>
            <w:pPr>
              <w:pStyle w:val="Normal"/>
              <w:widowControl w:val="false"/>
              <w:rPr>
                <w:rFonts w:ascii="Arial" w:hAnsi="Arial" w:cs="Arial"/>
                <w:b/>
                <w:b/>
                <w:bCs/>
                <w:sz w:val="22"/>
                <w:szCs w:val="22"/>
                <w:u w:val="single"/>
              </w:rPr>
            </w:pPr>
            <w:r>
              <w:rPr>
                <w:rFonts w:cs="Arial" w:ascii="Arial" w:hAnsi="Arial"/>
                <w:b/>
                <w:bCs/>
                <w:sz w:val="22"/>
                <w:szCs w:val="22"/>
                <w:u w:val="single"/>
              </w:rPr>
              <w:t>Interpretational Issues:</w:t>
            </w:r>
          </w:p>
          <w:p>
            <w:pPr>
              <w:pStyle w:val="Normal"/>
              <w:widowControl w:val="false"/>
              <w:rPr>
                <w:rFonts w:ascii="Arial" w:hAnsi="Arial" w:cs="Arial"/>
                <w:b/>
                <w:b/>
                <w:bCs/>
                <w:sz w:val="22"/>
                <w:szCs w:val="22"/>
                <w:u w:val="single"/>
              </w:rPr>
            </w:pPr>
            <w:r>
              <w:rPr>
                <w:rFonts w:cs="Arial" w:ascii="Arial" w:hAnsi="Arial"/>
                <w:b/>
                <w:bCs/>
                <w:sz w:val="22"/>
                <w:szCs w:val="22"/>
                <w:u w:val="single"/>
              </w:rPr>
            </w:r>
          </w:p>
          <w:p>
            <w:pPr>
              <w:pStyle w:val="Normal"/>
              <w:widowControl w:val="false"/>
              <w:rPr>
                <w:rFonts w:ascii="Arial" w:hAnsi="Arial" w:cs="Arial"/>
                <w:sz w:val="22"/>
                <w:szCs w:val="22"/>
              </w:rPr>
            </w:pPr>
            <w:r>
              <w:rPr>
                <w:rFonts w:cs="Arial" w:ascii="Arial" w:hAnsi="Arial"/>
                <w:sz w:val="22"/>
                <w:szCs w:val="22"/>
              </w:rPr>
              <w:t xml:space="preserve">Power, J. D., Mitra, A., Laumann, T. O., Snyder, A. Z., Schlaggar, B. L., Petersen, S. E. (2014). Methods to detect, characterize, and remove motion artifact in resting state fMRI. </w:t>
            </w:r>
            <w:r>
              <w:rPr>
                <w:rFonts w:cs="Arial" w:ascii="Arial" w:hAnsi="Arial"/>
                <w:i/>
                <w:sz w:val="22"/>
                <w:szCs w:val="22"/>
              </w:rPr>
              <w:t>Neuroimage, 84,</w:t>
            </w:r>
            <w:r>
              <w:rPr>
                <w:rFonts w:cs="Arial" w:ascii="Arial" w:hAnsi="Arial"/>
                <w:sz w:val="22"/>
                <w:szCs w:val="22"/>
              </w:rPr>
              <w:t xml:space="preserve"> 320–341.</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 xml:space="preserve">Van Dijk, K. R., Sabuncu, M. R., &amp; Buckner, R. L. (2012). The influence of head motion on intrinsic functional connectivity MRI. </w:t>
            </w:r>
            <w:r>
              <w:rPr>
                <w:rFonts w:cs="Arial" w:ascii="Arial" w:hAnsi="Arial"/>
                <w:i/>
                <w:sz w:val="22"/>
                <w:szCs w:val="22"/>
              </w:rPr>
              <w:t>Neuroimage, 59</w:t>
            </w:r>
            <w:r>
              <w:rPr>
                <w:rFonts w:cs="Arial" w:ascii="Arial" w:hAnsi="Arial"/>
                <w:sz w:val="22"/>
                <w:szCs w:val="22"/>
              </w:rPr>
              <w:t>(1), 431–438.</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 xml:space="preserve">Weissenbacher, A., Kasess, C., Gerstl, F., Lanzenberger, R., Moser, E., &amp; Windischberger, C. (2009). Correlations and anticorrelations in resting-state functional connectivity MRI: A quantitative comparison of preprocessing strategies. </w:t>
            </w:r>
            <w:r>
              <w:rPr>
                <w:rFonts w:cs="Arial" w:ascii="Arial" w:hAnsi="Arial"/>
                <w:i/>
                <w:sz w:val="22"/>
                <w:szCs w:val="22"/>
              </w:rPr>
              <w:t>Neuroimage, 47</w:t>
            </w:r>
            <w:r>
              <w:rPr>
                <w:rFonts w:cs="Arial" w:ascii="Arial" w:hAnsi="Arial"/>
                <w:sz w:val="22"/>
                <w:szCs w:val="22"/>
              </w:rPr>
              <w:t>(4), 1408–1416.</w:t>
            </w:r>
          </w:p>
          <w:p>
            <w:pPr>
              <w:pStyle w:val="Normal"/>
              <w:widowControl w:val="false"/>
              <w:rPr>
                <w:rFonts w:ascii="Arial" w:hAnsi="Arial" w:cs="Arial"/>
                <w:sz w:val="22"/>
                <w:szCs w:val="22"/>
              </w:rPr>
            </w:pPr>
            <w:r>
              <w:rPr>
                <w:rFonts w:cs="Arial" w:ascii="Arial" w:hAnsi="Arial"/>
                <w:sz w:val="22"/>
                <w:szCs w:val="22"/>
              </w:rPr>
            </w:r>
          </w:p>
        </w:tc>
      </w:tr>
      <w:tr>
        <w:trPr>
          <w:trHeight w:val="681"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2"/>
                <w:szCs w:val="22"/>
              </w:rPr>
            </w:pPr>
            <w:r>
              <w:rPr>
                <w:rFonts w:cs="Arial" w:ascii="Arial" w:hAnsi="Arial"/>
                <w:b/>
                <w:sz w:val="22"/>
                <w:szCs w:val="22"/>
              </w:rPr>
              <w:t>Language of Source:</w:t>
            </w:r>
          </w:p>
        </w:tc>
        <w:tc>
          <w:tcPr>
            <w:tcW w:w="86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English</w:t>
            </w:r>
          </w:p>
        </w:tc>
      </w:tr>
      <w:tr>
        <w:trPr>
          <w:trHeight w:val="557" w:hRule="atLeast"/>
        </w:trPr>
        <w:tc>
          <w:tcPr>
            <w:tcW w:w="2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 w:val="22"/>
                <w:szCs w:val="22"/>
              </w:rPr>
            </w:pPr>
            <w:r>
              <w:rPr>
                <w:rFonts w:cs="Arial" w:ascii="Arial" w:hAnsi="Arial"/>
                <w:b/>
                <w:sz w:val="22"/>
                <w:szCs w:val="22"/>
              </w:rPr>
              <w:t>Personnel and Training Required:</w:t>
            </w:r>
          </w:p>
        </w:tc>
        <w:tc>
          <w:tcPr>
            <w:tcW w:w="86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The functional magnetic resonance imaging (fMRI) technician should be trained in the administration of functional and structural MRI scans with respect to positioning and instructing the subject (e.g., not to move), running the scanner console and assessing whether appropriate data were collected.</w:t>
            </w:r>
          </w:p>
        </w:tc>
      </w:tr>
      <w:tr>
        <w:trPr>
          <w:trHeight w:val="350" w:hRule="atLeast"/>
        </w:trPr>
        <w:tc>
          <w:tcPr>
            <w:tcW w:w="2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sz w:val="22"/>
                <w:szCs w:val="22"/>
              </w:rPr>
            </w:pPr>
            <w:r>
              <w:rPr>
                <w:rFonts w:cs="Arial" w:ascii="Arial" w:hAnsi="Arial"/>
                <w:b/>
                <w:sz w:val="22"/>
                <w:szCs w:val="22"/>
              </w:rPr>
              <w:t>Equipment Needs:</w:t>
            </w:r>
          </w:p>
        </w:tc>
        <w:tc>
          <w:tcPr>
            <w:tcW w:w="86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Resting-state functional magnetic resonance imaging (fMRI) is a 1.5T or greater MRI scanner.</w:t>
            </w:r>
          </w:p>
        </w:tc>
      </w:tr>
      <w:tr>
        <w:trPr>
          <w:trHeight w:val="260"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2"/>
                <w:szCs w:val="22"/>
              </w:rPr>
            </w:pPr>
            <w:r>
              <w:rPr>
                <w:rFonts w:cs="Arial" w:ascii="Arial" w:hAnsi="Arial"/>
                <w:b/>
                <w:sz w:val="22"/>
                <w:szCs w:val="22"/>
              </w:rPr>
              <w:t>Protocol Type:</w:t>
            </w:r>
          </w:p>
        </w:tc>
        <w:tc>
          <w:tcPr>
            <w:tcW w:w="86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Physiological measurement</w:t>
            </w:r>
          </w:p>
        </w:tc>
      </w:tr>
      <w:tr>
        <w:trPr>
          <w:trHeight w:val="953"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2"/>
                <w:szCs w:val="22"/>
              </w:rPr>
            </w:pPr>
            <w:r>
              <w:rPr>
                <w:rFonts w:cs="Arial" w:ascii="Arial" w:hAnsi="Arial"/>
                <w:b/>
                <w:sz w:val="22"/>
                <w:szCs w:val="22"/>
              </w:rPr>
              <w:t>Requirements:</w:t>
            </w:r>
          </w:p>
        </w:tc>
        <w:tc>
          <w:tcPr>
            <w:tcW w:w="86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r>
          </w:p>
          <w:tbl>
            <w:tblPr>
              <w:tblW w:w="6930" w:type="dxa"/>
              <w:jc w:val="left"/>
              <w:tblInd w:w="0" w:type="dxa"/>
              <w:tblLayout w:type="fixed"/>
              <w:tblCellMar>
                <w:top w:w="0" w:type="dxa"/>
                <w:left w:w="10" w:type="dxa"/>
                <w:bottom w:w="0" w:type="dxa"/>
                <w:right w:w="10" w:type="dxa"/>
              </w:tblCellMar>
              <w:tblLook w:val="0000" w:noHBand="0" w:noVBand="0" w:firstColumn="0" w:lastRow="0" w:lastColumn="0" w:firstRow="0"/>
            </w:tblPr>
            <w:tblGrid>
              <w:gridCol w:w="4679"/>
              <w:gridCol w:w="2250"/>
            </w:tblGrid>
            <w:tr>
              <w:trPr>
                <w:trHeight w:val="574" w:hRule="atLeast"/>
              </w:trPr>
              <w:tc>
                <w:tcPr>
                  <w:tcW w:w="4679"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Arial" w:hAnsi="Arial" w:cs="Arial"/>
                      <w:sz w:val="22"/>
                      <w:szCs w:val="22"/>
                    </w:rPr>
                  </w:pPr>
                  <w:r>
                    <w:rPr>
                      <w:rFonts w:cs="Arial" w:ascii="Arial" w:hAnsi="Arial"/>
                      <w:b/>
                      <w:bCs/>
                      <w:sz w:val="22"/>
                      <w:szCs w:val="22"/>
                    </w:rPr>
                    <w:t>Requirements Category</w:t>
                  </w:r>
                </w:p>
              </w:tc>
              <w:tc>
                <w:tcPr>
                  <w:tcW w:w="2250" w:type="dxa"/>
                  <w:tcBorders>
                    <w:top w:val="single" w:sz="8" w:space="0" w:color="000000"/>
                    <w:bottom w:val="single" w:sz="8" w:space="0" w:color="000000"/>
                    <w:right w:val="single" w:sz="8" w:space="0" w:color="000000"/>
                  </w:tcBorders>
                  <w:vAlign w:val="center"/>
                </w:tcPr>
                <w:p>
                  <w:pPr>
                    <w:pStyle w:val="Normal"/>
                    <w:widowControl w:val="false"/>
                    <w:rPr>
                      <w:rFonts w:ascii="Arial" w:hAnsi="Arial" w:cs="Arial"/>
                      <w:sz w:val="22"/>
                      <w:szCs w:val="22"/>
                    </w:rPr>
                  </w:pPr>
                  <w:r>
                    <w:rPr>
                      <w:rFonts w:cs="Arial" w:ascii="Arial" w:hAnsi="Arial"/>
                      <w:b/>
                      <w:bCs/>
                      <w:sz w:val="22"/>
                      <w:szCs w:val="22"/>
                    </w:rPr>
                    <w:t>Required (Yes/No):</w:t>
                  </w:r>
                </w:p>
              </w:tc>
            </w:tr>
            <w:tr>
              <w:trPr>
                <w:trHeight w:val="384" w:hRule="atLeast"/>
              </w:trPr>
              <w:tc>
                <w:tcPr>
                  <w:tcW w:w="4679" w:type="dxa"/>
                  <w:tcBorders>
                    <w:left w:val="single" w:sz="8" w:space="0" w:color="000000"/>
                    <w:bottom w:val="single" w:sz="8" w:space="0" w:color="000000"/>
                    <w:right w:val="single" w:sz="8" w:space="0" w:color="000000"/>
                  </w:tcBorders>
                </w:tcPr>
                <w:p>
                  <w:pPr>
                    <w:pStyle w:val="Normal"/>
                    <w:widowControl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widowControl w:val="false"/>
                    <w:spacing w:before="40" w:after="0"/>
                    <w:jc w:val="center"/>
                    <w:rPr>
                      <w:rFonts w:ascii="Arial" w:hAnsi="Arial" w:cs="Arial"/>
                      <w:sz w:val="22"/>
                      <w:szCs w:val="22"/>
                    </w:rPr>
                  </w:pPr>
                  <w:r>
                    <w:rPr>
                      <w:rFonts w:cs="Arial" w:ascii="Arial" w:hAnsi="Arial"/>
                      <w:sz w:val="22"/>
                      <w:szCs w:val="22"/>
                    </w:rPr>
                    <w:t>Yes</w:t>
                  </w:r>
                </w:p>
              </w:tc>
            </w:tr>
            <w:tr>
              <w:trPr>
                <w:trHeight w:val="384" w:hRule="atLeast"/>
              </w:trPr>
              <w:tc>
                <w:tcPr>
                  <w:tcW w:w="4679" w:type="dxa"/>
                  <w:tcBorders>
                    <w:left w:val="single" w:sz="8" w:space="0" w:color="000000"/>
                    <w:bottom w:val="single" w:sz="8" w:space="0" w:color="000000"/>
                    <w:right w:val="single" w:sz="8" w:space="0" w:color="000000"/>
                  </w:tcBorders>
                </w:tcPr>
                <w:p>
                  <w:pPr>
                    <w:pStyle w:val="Normal"/>
                    <w:widowControl w:val="false"/>
                    <w:spacing w:before="40" w:after="0"/>
                    <w:rPr>
                      <w:rFonts w:ascii="Arial" w:hAnsi="Arial" w:cs="Arial"/>
                      <w:sz w:val="22"/>
                      <w:szCs w:val="22"/>
                    </w:rPr>
                  </w:pPr>
                  <w:r>
                    <w:rPr>
                      <w:rFonts w:cs="Arial" w:ascii="Arial" w:hAnsi="Arial"/>
                      <w:sz w:val="22"/>
                      <w:szCs w:val="22"/>
                    </w:rPr>
                    <w:t>Specialized training</w:t>
                  </w:r>
                </w:p>
              </w:tc>
              <w:tc>
                <w:tcPr>
                  <w:tcW w:w="2250" w:type="dxa"/>
                  <w:tcBorders>
                    <w:bottom w:val="single" w:sz="8" w:space="0" w:color="000000"/>
                    <w:right w:val="single" w:sz="8" w:space="0" w:color="000000"/>
                  </w:tcBorders>
                </w:tcPr>
                <w:p>
                  <w:pPr>
                    <w:pStyle w:val="Normal"/>
                    <w:widowControl w:val="false"/>
                    <w:spacing w:before="40" w:after="0"/>
                    <w:jc w:val="center"/>
                    <w:rPr>
                      <w:rFonts w:ascii="Arial" w:hAnsi="Arial" w:cs="Arial"/>
                      <w:sz w:val="22"/>
                      <w:szCs w:val="22"/>
                    </w:rPr>
                  </w:pPr>
                  <w:r>
                    <w:rPr>
                      <w:rFonts w:cs="Arial" w:ascii="Arial" w:hAnsi="Arial"/>
                      <w:sz w:val="22"/>
                      <w:szCs w:val="22"/>
                    </w:rPr>
                    <w:t>Yes</w:t>
                  </w:r>
                </w:p>
              </w:tc>
            </w:tr>
            <w:tr>
              <w:trPr>
                <w:trHeight w:val="384" w:hRule="atLeast"/>
              </w:trPr>
              <w:tc>
                <w:tcPr>
                  <w:tcW w:w="467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40" w:after="0"/>
                    <w:rPr>
                      <w:rFonts w:ascii="Arial" w:hAnsi="Arial" w:cs="Arial"/>
                      <w:sz w:val="22"/>
                      <w:szCs w:val="22"/>
                    </w:rPr>
                  </w:pPr>
                  <w:r>
                    <w:rPr>
                      <w:rFonts w:cs="Arial" w:ascii="Arial" w:hAnsi="Arial"/>
                      <w:sz w:val="22"/>
                      <w:szCs w:val="22"/>
                    </w:rPr>
                    <w:t>Specialized requirements for biospecimen collection</w:t>
                  </w:r>
                </w:p>
              </w:tc>
              <w:tc>
                <w:tcPr>
                  <w:tcW w:w="2250" w:type="dxa"/>
                  <w:tcBorders>
                    <w:top w:val="single" w:sz="8" w:space="0" w:color="000000"/>
                    <w:bottom w:val="single" w:sz="8" w:space="0" w:color="000000"/>
                    <w:right w:val="single" w:sz="8" w:space="0" w:color="000000"/>
                  </w:tcBorders>
                </w:tcPr>
                <w:p>
                  <w:pPr>
                    <w:pStyle w:val="Normal"/>
                    <w:widowControl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79" w:type="dxa"/>
                  <w:tcBorders>
                    <w:top w:val="single" w:sz="8" w:space="0" w:color="000000"/>
                    <w:left w:val="single" w:sz="8" w:space="0" w:color="000000"/>
                    <w:bottom w:val="single" w:sz="8" w:space="0" w:color="000000"/>
                    <w:right w:val="single" w:sz="8" w:space="0" w:color="000000"/>
                  </w:tcBorders>
                </w:tcPr>
                <w:p>
                  <w:pPr>
                    <w:pStyle w:val="Normal"/>
                    <w:widowControl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widowControl w:val="false"/>
                    <w:spacing w:before="40" w:after="0"/>
                    <w:jc w:val="center"/>
                    <w:rPr>
                      <w:rFonts w:ascii="Arial" w:hAnsi="Arial" w:cs="Arial"/>
                      <w:sz w:val="22"/>
                      <w:szCs w:val="22"/>
                    </w:rPr>
                  </w:pPr>
                  <w:r>
                    <w:rPr>
                      <w:rFonts w:cs="Arial" w:ascii="Arial" w:hAnsi="Arial"/>
                      <w:sz w:val="22"/>
                      <w:szCs w:val="22"/>
                    </w:rPr>
                    <w:t>Yes</w:t>
                  </w:r>
                </w:p>
              </w:tc>
            </w:tr>
          </w:tbl>
          <w:p>
            <w:pPr>
              <w:pStyle w:val="Normal"/>
              <w:widowControl w:val="false"/>
              <w:rPr>
                <w:rFonts w:ascii="Arial" w:hAnsi="Arial" w:cs="Arial"/>
                <w:b/>
                <w:b/>
                <w:sz w:val="22"/>
                <w:szCs w:val="22"/>
              </w:rPr>
            </w:pPr>
            <w:r>
              <w:rPr>
                <w:rFonts w:cs="Arial" w:ascii="Arial" w:hAnsi="Arial"/>
                <w:b/>
                <w:sz w:val="22"/>
                <w:szCs w:val="22"/>
              </w:rPr>
            </w:r>
          </w:p>
        </w:tc>
      </w:tr>
      <w:tr>
        <w:trPr>
          <w:trHeight w:val="512" w:hRule="atLeast"/>
        </w:trPr>
        <w:tc>
          <w:tcPr>
            <w:tcW w:w="22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2"/>
                <w:szCs w:val="22"/>
              </w:rPr>
            </w:pPr>
            <w:r>
              <w:rPr>
                <w:rFonts w:cs="Arial" w:ascii="Arial" w:hAnsi="Arial"/>
                <w:b/>
                <w:sz w:val="22"/>
                <w:szCs w:val="22"/>
              </w:rPr>
              <w:t>Common Data Elements:</w:t>
            </w:r>
          </w:p>
        </w:tc>
        <w:tc>
          <w:tcPr>
            <w:tcW w:w="86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TBD by PhenX Staff</w:t>
            </w:r>
          </w:p>
        </w:tc>
      </w:tr>
      <w:tr>
        <w:trPr>
          <w:trHeight w:val="521" w:hRule="atLeast"/>
        </w:trPr>
        <w:tc>
          <w:tcPr>
            <w:tcW w:w="2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cs="Arial"/>
                <w:b/>
                <w:b/>
                <w:sz w:val="22"/>
                <w:szCs w:val="22"/>
              </w:rPr>
            </w:pPr>
            <w:bookmarkStart w:id="0" w:name="_GoBack"/>
            <w:r>
              <w:rPr>
                <w:rFonts w:cs="Arial" w:ascii="Arial" w:hAnsi="Arial"/>
                <w:b/>
                <w:sz w:val="22"/>
                <w:szCs w:val="22"/>
              </w:rPr>
              <w:t>General References:</w:t>
            </w:r>
            <w:bookmarkEnd w:id="0"/>
          </w:p>
        </w:tc>
        <w:tc>
          <w:tcPr>
            <w:tcW w:w="86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Baker, J. T., Holmes, A. J., Masters, G. A., Yeo, B. T., Krienen, F., Buckner, R. L., &amp; Öngür, D. (2014).</w:t>
            </w:r>
            <w:r>
              <w:rPr/>
              <w:t xml:space="preserve"> </w:t>
            </w:r>
            <w:r>
              <w:rPr>
                <w:rFonts w:cs="Arial" w:ascii="Arial" w:hAnsi="Arial"/>
                <w:sz w:val="22"/>
                <w:szCs w:val="22"/>
              </w:rPr>
              <w:t xml:space="preserve">Disruption of cortical association networks in schizophrenia and psychotic bipolar disorder. </w:t>
            </w:r>
            <w:r>
              <w:rPr>
                <w:rFonts w:cs="Arial" w:ascii="Arial" w:hAnsi="Arial"/>
                <w:i/>
                <w:sz w:val="22"/>
                <w:szCs w:val="22"/>
              </w:rPr>
              <w:t>JAMA Psychiatry, 71</w:t>
            </w:r>
            <w:r>
              <w:rPr>
                <w:rFonts w:cs="Arial" w:ascii="Arial" w:hAnsi="Arial"/>
                <w:sz w:val="22"/>
                <w:szCs w:val="22"/>
              </w:rPr>
              <w:t>(2), 109–118.</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 xml:space="preserve">Brown, V. M., LaBar, K. S., Haswell, C. C., Gold, A L., Mid-Atlantic MIRECC Workgroup, McCarthy, G., &amp; Morey, R. A. (2014) Altered resting-state functional connectivity of basolateral and centromedial amygdala complexes in posttraumatic stress disorder. </w:t>
            </w:r>
            <w:r>
              <w:rPr>
                <w:rFonts w:cs="Arial" w:ascii="Arial" w:hAnsi="Arial"/>
                <w:i/>
                <w:sz w:val="22"/>
                <w:szCs w:val="22"/>
              </w:rPr>
              <w:t>Neuropsychopharmacology, 39</w:t>
            </w:r>
            <w:r>
              <w:rPr>
                <w:rFonts w:cs="Arial" w:ascii="Arial" w:hAnsi="Arial"/>
                <w:sz w:val="22"/>
                <w:szCs w:val="22"/>
              </w:rPr>
              <w:t>(2), 351–359.</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Chen, A. C., &amp; Etkin, A. (2013) Hippocampal network connectivity and activation differentiates post-traumatic stress disorder from generalized anxiety disorder.</w:t>
            </w:r>
            <w:r>
              <w:rPr/>
              <w:t xml:space="preserve"> </w:t>
            </w:r>
            <w:r>
              <w:rPr>
                <w:rFonts w:cs="Arial" w:ascii="Arial" w:hAnsi="Arial"/>
                <w:i/>
                <w:sz w:val="22"/>
                <w:szCs w:val="22"/>
              </w:rPr>
              <w:t>Neuropsychopharmacology, 38</w:t>
            </w:r>
            <w:r>
              <w:rPr>
                <w:rFonts w:cs="Arial" w:ascii="Arial" w:hAnsi="Arial"/>
                <w:sz w:val="22"/>
                <w:szCs w:val="22"/>
              </w:rPr>
              <w:t>(10), 1889–1898.</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 xml:space="preserve">Oathes, D. J., Patenaude, B., Schatzberg, A. F., &amp; Etkin, A. (2014). Neurobiological signatures of anxiety and depression in resting-state functional magnetic resonance imaging. </w:t>
            </w:r>
            <w:r>
              <w:rPr>
                <w:rFonts w:cs="Arial" w:ascii="Arial" w:hAnsi="Arial"/>
                <w:i/>
                <w:sz w:val="22"/>
                <w:szCs w:val="22"/>
              </w:rPr>
              <w:t>Biological Psychiatry, 77</w:t>
            </w:r>
            <w:r>
              <w:rPr>
                <w:rFonts w:cs="Arial" w:ascii="Arial" w:hAnsi="Arial"/>
                <w:sz w:val="22"/>
                <w:szCs w:val="22"/>
              </w:rPr>
              <w:t>(4), 385–393.</w:t>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Sripada, R. K., King, A. P., Welsh, R. C., Garfinkel, S. N., Wang, X., Sripada, C. S., &amp; Liberzon, I. (2012). Neural dysregulation in posttraumatic stress disorder: Evidence for disrupted equilibrium between salience and default mode brain networks.</w:t>
            </w:r>
            <w:r>
              <w:rPr/>
              <w:t xml:space="preserve"> </w:t>
            </w:r>
            <w:r>
              <w:rPr>
                <w:rFonts w:cs="Arial" w:ascii="Arial" w:hAnsi="Arial"/>
                <w:i/>
                <w:sz w:val="22"/>
                <w:szCs w:val="22"/>
              </w:rPr>
              <w:t>Psychosomatic Medicine, 74</w:t>
            </w:r>
            <w:r>
              <w:rPr>
                <w:rFonts w:cs="Arial" w:ascii="Arial" w:hAnsi="Arial"/>
                <w:sz w:val="22"/>
                <w:szCs w:val="22"/>
              </w:rPr>
              <w:t>(9), 904–911.</w:t>
            </w:r>
          </w:p>
        </w:tc>
      </w:tr>
    </w:tbl>
    <w:p>
      <w:pPr>
        <w:pStyle w:val="Normal"/>
        <w:rPr>
          <w:rFonts w:ascii="Arial" w:hAnsi="Arial" w:cs="Arial"/>
          <w:sz w:val="22"/>
          <w:szCs w:val="22"/>
        </w:rPr>
      </w:pPr>
      <w:r>
        <w:rPr>
          <w:rFonts w:cs="Arial" w:ascii="Arial" w:hAnsi="Arial"/>
          <w:sz w:val="22"/>
          <w:szCs w:val="22"/>
        </w:rPr>
      </w:r>
    </w:p>
    <w:tbl>
      <w:tblPr>
        <w:tblW w:w="10604"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2175"/>
        <w:gridCol w:w="8428"/>
      </w:tblGrid>
      <w:tr>
        <w:trPr>
          <w:trHeight w:val="578" w:hRule="atLeast"/>
        </w:trPr>
        <w:tc>
          <w:tcPr>
            <w:tcW w:w="217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
                <w:bCs/>
                <w:sz w:val="22"/>
                <w:szCs w:val="22"/>
              </w:rPr>
            </w:pPr>
            <w:r>
              <w:rPr>
                <w:rFonts w:cs="Arial" w:ascii="Arial" w:hAnsi="Arial"/>
                <w:b/>
                <w:bCs/>
                <w:sz w:val="22"/>
                <w:szCs w:val="22"/>
              </w:rPr>
              <w:t>Additional Information About the Measure</w:t>
            </w:r>
          </w:p>
        </w:tc>
      </w:tr>
      <w:tr>
        <w:trPr>
          <w:trHeight w:val="305" w:hRule="atLeast"/>
        </w:trPr>
        <w:tc>
          <w:tcPr>
            <w:tcW w:w="217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2"/>
                <w:szCs w:val="22"/>
              </w:rPr>
            </w:pPr>
            <w:r>
              <w:rPr>
                <w:rFonts w:cs="Arial" w:ascii="Arial" w:hAnsi="Arial"/>
                <w:b/>
                <w:sz w:val="22"/>
                <w:szCs w:val="22"/>
              </w:rPr>
              <w:t>Essential Data:</w:t>
            </w:r>
          </w:p>
        </w:tc>
        <w:tc>
          <w:tcPr>
            <w:tcW w:w="84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Gender, Current Age</w:t>
            </w:r>
          </w:p>
        </w:tc>
      </w:tr>
      <w:tr>
        <w:trPr>
          <w:trHeight w:val="541" w:hRule="atLeast"/>
        </w:trPr>
        <w:tc>
          <w:tcPr>
            <w:tcW w:w="217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2"/>
                <w:szCs w:val="22"/>
              </w:rPr>
            </w:pPr>
            <w:r>
              <w:rPr>
                <w:rFonts w:cs="Arial" w:ascii="Arial" w:hAnsi="Arial"/>
                <w:b/>
                <w:sz w:val="22"/>
                <w:szCs w:val="22"/>
              </w:rPr>
              <w:t>Related PhenX Measures:</w:t>
            </w:r>
          </w:p>
        </w:tc>
        <w:tc>
          <w:tcPr>
            <w:tcW w:w="84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None</w:t>
            </w:r>
          </w:p>
        </w:tc>
      </w:tr>
      <w:tr>
        <w:trPr>
          <w:trHeight w:val="332" w:hRule="atLeast"/>
        </w:trPr>
        <w:tc>
          <w:tcPr>
            <w:tcW w:w="217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2"/>
                <w:szCs w:val="22"/>
              </w:rPr>
            </w:pPr>
            <w:r>
              <w:rPr>
                <w:rFonts w:cs="Arial" w:ascii="Arial" w:hAnsi="Arial"/>
                <w:b/>
                <w:sz w:val="22"/>
                <w:szCs w:val="22"/>
              </w:rPr>
              <w:t>Derived Variables:</w:t>
            </w:r>
          </w:p>
        </w:tc>
        <w:tc>
          <w:tcPr>
            <w:tcW w:w="84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None</w:t>
            </w:r>
          </w:p>
        </w:tc>
      </w:tr>
      <w:tr>
        <w:trPr>
          <w:trHeight w:val="521" w:hRule="atLeast"/>
        </w:trPr>
        <w:tc>
          <w:tcPr>
            <w:tcW w:w="217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2"/>
                <w:szCs w:val="22"/>
              </w:rPr>
            </w:pPr>
            <w:r>
              <w:rPr>
                <w:rFonts w:cs="Arial" w:ascii="Arial" w:hAnsi="Arial"/>
                <w:b/>
                <w:sz w:val="22"/>
                <w:szCs w:val="22"/>
              </w:rPr>
              <w:t>Keywords/Related Concepts:</w:t>
            </w:r>
          </w:p>
        </w:tc>
        <w:tc>
          <w:tcPr>
            <w:tcW w:w="84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2"/>
                <w:szCs w:val="22"/>
              </w:rPr>
            </w:pPr>
            <w:r>
              <w:rPr>
                <w:rFonts w:cs="Arial" w:ascii="Arial" w:hAnsi="Arial"/>
                <w:sz w:val="22"/>
                <w:szCs w:val="22"/>
              </w:rPr>
              <w:t>Functional magnetic resonance imaging (fMRI), magnetic resonance imaging (MRI), trauma, post-traumatic stress disorder (PTSD), neuroimaging, resting-state fMRI</w:t>
            </w:r>
          </w:p>
        </w:tc>
      </w:tr>
    </w:tbl>
    <w:p>
      <w:pPr>
        <w:pStyle w:val="Normal"/>
        <w:rPr>
          <w:rFonts w:ascii="Arial" w:hAnsi="Arial" w:cs="Arial"/>
          <w:sz w:val="22"/>
          <w:szCs w:val="22"/>
        </w:rPr>
      </w:pPr>
      <w:r>
        <w:rPr/>
      </w:r>
    </w:p>
    <w:sectPr>
      <w:headerReference w:type="default" r:id="rId2"/>
      <w:footerReference w:type="default" r:id="rId3"/>
      <w:type w:val="nextPage"/>
      <w:pgSz w:w="12240" w:h="15840"/>
      <w:pgMar w:left="1296" w:right="1296" w:gutter="0" w:header="720" w:top="777"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Trebuchet MS">
    <w:charset w:val="01"/>
    <w:family w:val="roman"/>
    <w:pitch w:val="variable"/>
  </w:font>
  <w:font w:name="Helvetica">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w:hAnsi="Arial" w:cs="Arial"/>
        <w:sz w:val="18"/>
        <w:szCs w:val="18"/>
      </w:rPr>
    </w:pPr>
    <w:r>
      <w:rPr>
        <w:rFonts w:cs="Arial" w:ascii="Arial" w:hAnsi="Arial"/>
        <w:sz w:val="18"/>
        <w:szCs w:val="18"/>
      </w:rPr>
      <w:t>Version 10 – 10/21/09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Cs/>
        <w:sz w:val="20"/>
        <w:szCs w:val="20"/>
        <w:u w:val="single"/>
      </w:rPr>
      <w:t>Resting-state fMRI</w:t>
    </w:r>
    <w:r>
      <w:rPr>
        <w:rFonts w:cs="Arial" w:ascii="Arial" w:hAnsi="Arial"/>
        <w:b/>
        <w:sz w:val="20"/>
        <w:szCs w:val="20"/>
      </w:rPr>
      <w:tab/>
      <w:tab/>
      <w:t xml:space="preserve">                                                                    </w:t>
    </w:r>
  </w:p>
  <w:p>
    <w:pPr>
      <w:pStyle w:val="Normal"/>
      <w:rPr>
        <w:rFonts w:ascii="Arial" w:hAnsi="Arial" w:cs="Arial"/>
        <w:bCs/>
        <w:sz w:val="20"/>
        <w:szCs w:val="20"/>
      </w:rPr>
    </w:pPr>
    <w:r>
      <w:rPr>
        <w:rFonts w:cs="Arial" w:ascii="Arial" w:hAnsi="Arial"/>
        <w:bCs/>
        <w:sz w:val="20"/>
        <w:szCs w:val="20"/>
      </w:rPr>
      <w:t>Date of SC final approval: 1-22-2015</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c47be"/>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link w:val="Heading1Char"/>
    <w:uiPriority w:val="9"/>
    <w:qFormat/>
    <w:rsid w:val="00f64295"/>
    <w:pPr>
      <w:spacing w:beforeAutospacing="1" w:afterAutospacing="1"/>
      <w:outlineLvl w:val="0"/>
    </w:pPr>
    <w:rPr>
      <w:rFonts w:ascii="Times" w:hAnsi="Times"/>
      <w:b/>
      <w:bCs/>
      <w:kern w:val="2"/>
      <w:sz w:val="48"/>
      <w:szCs w:val="48"/>
    </w:rPr>
  </w:style>
  <w:style w:type="paragraph" w:styleId="Heading2">
    <w:name w:val="Heading 2"/>
    <w:basedOn w:val="Normal"/>
    <w:next w:val="Normal"/>
    <w:link w:val="Heading2Char"/>
    <w:qFormat/>
    <w:rsid w:val="00984c30"/>
    <w:pPr>
      <w:keepNext w:val="true"/>
      <w:spacing w:before="240" w:after="60"/>
      <w:outlineLvl w:val="1"/>
    </w:pPr>
    <w:rPr>
      <w:rFonts w:ascii="Calibri" w:hAnsi="Calibri" w:eastAsia="MS Gothic"/>
      <w:b/>
      <w:bCs/>
      <w:i/>
      <w:iCs/>
      <w:sz w:val="28"/>
      <w:szCs w:val="28"/>
    </w:rPr>
  </w:style>
  <w:style w:type="character" w:styleId="DefaultParagraphFont" w:default="1">
    <w:name w:val="Default Paragraph Font"/>
    <w:uiPriority w:val="1"/>
    <w:semiHidden/>
    <w:unhideWhenUsed/>
    <w:qFormat/>
    <w:rPr/>
  </w:style>
  <w:style w:type="character" w:styleId="InternetLink">
    <w:name w:val="Hyperlink"/>
    <w:rsid w:val="003c1872"/>
    <w:rPr>
      <w:color w:val="0000FF"/>
      <w:u w:val="single"/>
    </w:rPr>
  </w:style>
  <w:style w:type="character" w:styleId="VisitedInternetLink">
    <w:name w:val="FollowedHyperlink"/>
    <w:rsid w:val="00b87aa2"/>
    <w:rPr>
      <w:color w:val="800080"/>
      <w:u w:val="single"/>
    </w:rPr>
  </w:style>
  <w:style w:type="character" w:styleId="Annotationreference">
    <w:name w:val="annotation reference"/>
    <w:semiHidden/>
    <w:qFormat/>
    <w:rsid w:val="00f7031a"/>
    <w:rPr>
      <w:sz w:val="16"/>
      <w:szCs w:val="16"/>
    </w:rPr>
  </w:style>
  <w:style w:type="character" w:styleId="Whuggins" w:customStyle="1">
    <w:name w:val="whuggins"/>
    <w:semiHidden/>
    <w:qFormat/>
    <w:rsid w:val="005443ef"/>
    <w:rPr>
      <w:rFonts w:ascii="Arial" w:hAnsi="Arial" w:cs="Arial"/>
      <w:color w:val="000080"/>
      <w:sz w:val="20"/>
      <w:szCs w:val="20"/>
    </w:rPr>
  </w:style>
  <w:style w:type="character" w:styleId="Strong">
    <w:name w:val="Strong"/>
    <w:qFormat/>
    <w:rsid w:val="0014724b"/>
    <w:rPr>
      <w:b/>
      <w:bCs/>
    </w:rPr>
  </w:style>
  <w:style w:type="character" w:styleId="Heading1Char" w:customStyle="1">
    <w:name w:val="Heading 1 Char"/>
    <w:link w:val="Heading1"/>
    <w:uiPriority w:val="9"/>
    <w:qFormat/>
    <w:rsid w:val="00f64295"/>
    <w:rPr>
      <w:rFonts w:ascii="Times" w:hAnsi="Times"/>
      <w:b/>
      <w:bCs/>
      <w:kern w:val="2"/>
      <w:sz w:val="48"/>
      <w:szCs w:val="48"/>
    </w:rPr>
  </w:style>
  <w:style w:type="character" w:styleId="Highlight" w:customStyle="1">
    <w:name w:val="highlight"/>
    <w:qFormat/>
    <w:rsid w:val="00f64295"/>
    <w:rPr/>
  </w:style>
  <w:style w:type="character" w:styleId="Appleconvertedspace" w:customStyle="1">
    <w:name w:val="apple-converted-space"/>
    <w:qFormat/>
    <w:rsid w:val="00f64295"/>
    <w:rPr/>
  </w:style>
  <w:style w:type="character" w:styleId="TitleChar" w:customStyle="1">
    <w:name w:val="Title Char"/>
    <w:link w:val="Title"/>
    <w:uiPriority w:val="10"/>
    <w:qFormat/>
    <w:rsid w:val="001d280b"/>
    <w:rPr>
      <w:rFonts w:ascii="Times" w:hAnsi="Times"/>
    </w:rPr>
  </w:style>
  <w:style w:type="character" w:styleId="Jrnl" w:customStyle="1">
    <w:name w:val="jrnl"/>
    <w:qFormat/>
    <w:rsid w:val="001d280b"/>
    <w:rPr/>
  </w:style>
  <w:style w:type="character" w:styleId="Heading2Char" w:customStyle="1">
    <w:name w:val="Heading 2 Char"/>
    <w:link w:val="Heading2"/>
    <w:semiHidden/>
    <w:qFormat/>
    <w:rsid w:val="00984c30"/>
    <w:rPr>
      <w:rFonts w:ascii="Calibri" w:hAnsi="Calibri" w:eastAsia="MS Gothic" w:cs="Times New Roman"/>
      <w:b/>
      <w:bCs/>
      <w:i/>
      <w:iCs/>
      <w:sz w:val="28"/>
      <w:szCs w:val="28"/>
    </w:rPr>
  </w:style>
  <w:style w:type="character" w:styleId="Articletypelabel" w:customStyle="1">
    <w:name w:val="articletypelabel"/>
    <w:qFormat/>
    <w:rsid w:val="00984c30"/>
    <w:rPr/>
  </w:style>
  <w:style w:type="character" w:styleId="Hit" w:customStyle="1">
    <w:name w:val="hit"/>
    <w:qFormat/>
    <w:rsid w:val="00984c30"/>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rsid w:val="003f496e"/>
    <w:pPr>
      <w:tabs>
        <w:tab w:val="clear" w:pos="720"/>
        <w:tab w:val="center" w:pos="4320" w:leader="none"/>
        <w:tab w:val="right" w:pos="8640" w:leader="none"/>
      </w:tabs>
    </w:pPr>
    <w:rPr/>
  </w:style>
  <w:style w:type="paragraph" w:styleId="Footer">
    <w:name w:val="Footer"/>
    <w:basedOn w:val="Normal"/>
    <w:rsid w:val="003f496e"/>
    <w:pPr>
      <w:tabs>
        <w:tab w:val="clear" w:pos="720"/>
        <w:tab w:val="center" w:pos="4320" w:leader="none"/>
        <w:tab w:val="right" w:pos="8640" w:leader="none"/>
      </w:tabs>
    </w:pPr>
    <w:rPr/>
  </w:style>
  <w:style w:type="paragraph" w:styleId="Annotationtext">
    <w:name w:val="annotation text"/>
    <w:basedOn w:val="Normal"/>
    <w:semiHidden/>
    <w:qFormat/>
    <w:rsid w:val="00f7031a"/>
    <w:pPr/>
    <w:rPr>
      <w:sz w:val="20"/>
      <w:szCs w:val="20"/>
    </w:rPr>
  </w:style>
  <w:style w:type="paragraph" w:styleId="Annotationsubject">
    <w:name w:val="annotation subject"/>
    <w:basedOn w:val="Annotationtext"/>
    <w:next w:val="Annotationtext"/>
    <w:semiHidden/>
    <w:qFormat/>
    <w:rsid w:val="00f7031a"/>
    <w:pPr/>
    <w:rPr>
      <w:b/>
      <w:bCs/>
    </w:rPr>
  </w:style>
  <w:style w:type="paragraph" w:styleId="BalloonText">
    <w:name w:val="Balloon Text"/>
    <w:basedOn w:val="Normal"/>
    <w:semiHidden/>
    <w:qFormat/>
    <w:rsid w:val="00f7031a"/>
    <w:pPr/>
    <w:rPr>
      <w:rFonts w:ascii="Tahoma" w:hAnsi="Tahoma" w:cs="Tahoma"/>
      <w:sz w:val="16"/>
      <w:szCs w:val="16"/>
    </w:rPr>
  </w:style>
  <w:style w:type="paragraph" w:styleId="LightGridAccent31" w:customStyle="1">
    <w:name w:val="Light Grid - Accent 31"/>
    <w:basedOn w:val="Normal"/>
    <w:uiPriority w:val="34"/>
    <w:qFormat/>
    <w:rsid w:val="0029042f"/>
    <w:pPr>
      <w:spacing w:before="0" w:after="0"/>
      <w:ind w:left="720" w:hanging="0"/>
      <w:contextualSpacing/>
    </w:pPr>
    <w:rPr/>
  </w:style>
  <w:style w:type="paragraph" w:styleId="NormalWeb">
    <w:name w:val="Normal (Web)"/>
    <w:basedOn w:val="Normal"/>
    <w:qFormat/>
    <w:rsid w:val="00192529"/>
    <w:pPr>
      <w:spacing w:beforeAutospacing="1" w:afterAutospacing="1"/>
    </w:pPr>
    <w:rPr>
      <w:rFonts w:ascii="Trebuchet MS" w:hAnsi="Trebuchet MS"/>
      <w:color w:val="444444"/>
      <w:sz w:val="20"/>
      <w:szCs w:val="20"/>
    </w:rPr>
  </w:style>
  <w:style w:type="paragraph" w:styleId="MediumList2Accent21" w:customStyle="1">
    <w:name w:val="Medium List 2 - Accent 21"/>
    <w:uiPriority w:val="71"/>
    <w:qFormat/>
    <w:rsid w:val="00f0672b"/>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Title">
    <w:name w:val="Title"/>
    <w:basedOn w:val="Normal"/>
    <w:link w:val="TitleChar"/>
    <w:uiPriority w:val="10"/>
    <w:qFormat/>
    <w:rsid w:val="001d280b"/>
    <w:pPr>
      <w:spacing w:beforeAutospacing="1" w:afterAutospacing="1"/>
    </w:pPr>
    <w:rPr>
      <w:rFonts w:ascii="Times" w:hAnsi="Times"/>
      <w:sz w:val="20"/>
      <w:szCs w:val="20"/>
    </w:rPr>
  </w:style>
  <w:style w:type="paragraph" w:styleId="Desc" w:customStyle="1">
    <w:name w:val="desc"/>
    <w:basedOn w:val="Normal"/>
    <w:qFormat/>
    <w:rsid w:val="001d280b"/>
    <w:pPr>
      <w:spacing w:beforeAutospacing="1" w:afterAutospacing="1"/>
    </w:pPr>
    <w:rPr>
      <w:rFonts w:ascii="Times" w:hAnsi="Times"/>
      <w:sz w:val="20"/>
      <w:szCs w:val="20"/>
    </w:rPr>
  </w:style>
  <w:style w:type="paragraph" w:styleId="Details" w:customStyle="1">
    <w:name w:val="details"/>
    <w:basedOn w:val="Normal"/>
    <w:qFormat/>
    <w:rsid w:val="001d280b"/>
    <w:pPr>
      <w:spacing w:beforeAutospacing="1" w:afterAutospacing="1"/>
    </w:pPr>
    <w:rPr>
      <w:rFonts w:ascii="Times" w:hAnsi="Times"/>
      <w:sz w:val="20"/>
      <w:szCs w:val="20"/>
    </w:rPr>
  </w:style>
  <w:style w:type="paragraph" w:styleId="Links" w:customStyle="1">
    <w:name w:val="links"/>
    <w:basedOn w:val="Normal"/>
    <w:qFormat/>
    <w:rsid w:val="00c6020b"/>
    <w:pPr>
      <w:spacing w:beforeAutospacing="1" w:afterAutospacing="1"/>
    </w:pPr>
    <w:rPr>
      <w:rFonts w:ascii="Times" w:hAnsi="Times"/>
      <w:sz w:val="20"/>
      <w:szCs w:val="20"/>
    </w:rPr>
  </w:style>
  <w:style w:type="paragraph" w:styleId="ColorfulShadingAccent11" w:customStyle="1">
    <w:name w:val="Colorful Shading - Accent 11"/>
    <w:uiPriority w:val="99"/>
    <w:semiHidden/>
    <w:qFormat/>
    <w:rsid w:val="0005797f"/>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Revision">
    <w:name w:val="Revision"/>
    <w:uiPriority w:val="99"/>
    <w:semiHidden/>
    <w:qFormat/>
    <w:rsid w:val="00ec689b"/>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47b12"/>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6D0BE-376E-43A1-AC4F-AF5ED141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Application>LibreOffice/7.3.7.2$Linux_X86_64 LibreOffice_project/30$Build-2</Application>
  <AppVersion>15.0000</AppVersion>
  <Pages>7</Pages>
  <Words>2660</Words>
  <Characters>15164</Characters>
  <CharactersWithSpaces>17789</CharactersWithSpaces>
  <Paragraphs>35</Paragraphs>
  <Company>RTI International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2015-01-12T19:09:00Z</dcterms:created>
  <dc:creator>mjp</dc:creator>
  <dc:description/>
  <dc:language>en-US</dc:language>
  <cp:lastModifiedBy>Huggins, Wayne</cp:lastModifiedBy>
  <cp:lastPrinted>2014-12-16T18:29:00Z</cp:lastPrinted>
  <dcterms:modified xsi:type="dcterms:W3CDTF">2015-02-08T17:34:00Z</dcterms:modified>
  <cp:revision>10</cp:revision>
  <dc:subject/>
  <dc:title>Birthplace</dc:title>
</cp:coreProperties>
</file>

<file path=docProps/custom.xml><?xml version="1.0" encoding="utf-8"?>
<Properties xmlns="http://schemas.openxmlformats.org/officeDocument/2006/custom-properties" xmlns:vt="http://schemas.openxmlformats.org/officeDocument/2006/docPropsVTypes"/>
</file>